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val="en-US" w:eastAsia="zh-CN"/>
        </w:rPr>
        <w:t xml:space="preserve"> </w:t>
      </w:r>
    </w:p>
    <w:p>
      <w:pPr>
        <w:rPr>
          <w:rFonts w:hint="eastAsia"/>
          <w:lang w:val="en-US" w:eastAsia="zh-CN"/>
        </w:rPr>
      </w:pPr>
    </w:p>
    <w:p>
      <w:pPr>
        <w:rPr>
          <w:rFonts w:hint="eastAsia"/>
          <w:b/>
          <w:bCs/>
          <w:sz w:val="32"/>
          <w:szCs w:val="32"/>
          <w:lang w:val="en-US" w:eastAsia="zh-CN"/>
        </w:rPr>
      </w:pPr>
      <w:r>
        <w:rPr>
          <w:rFonts w:hint="eastAsia"/>
          <w:lang w:val="en-US" w:eastAsia="zh-CN"/>
        </w:rPr>
        <w:t xml:space="preserve">            </w:t>
      </w:r>
      <w:r>
        <w:rPr>
          <w:rFonts w:hint="eastAsia"/>
          <w:b/>
          <w:bCs/>
          <w:sz w:val="32"/>
          <w:szCs w:val="32"/>
          <w:lang w:val="en-US" w:eastAsia="zh-CN"/>
        </w:rPr>
        <w:t>台州市中医院技能培训教室视听系统一套</w:t>
      </w:r>
    </w:p>
    <w:p>
      <w:pPr>
        <w:rPr>
          <w:rFonts w:hint="eastAsia"/>
          <w:b/>
          <w:bCs/>
          <w:sz w:val="32"/>
          <w:szCs w:val="32"/>
          <w:lang w:val="en-US" w:eastAsia="zh-CN"/>
        </w:rPr>
      </w:pPr>
      <w:r>
        <w:rPr>
          <w:rFonts w:hint="eastAsia"/>
          <w:b/>
          <w:bCs/>
          <w:sz w:val="32"/>
          <w:szCs w:val="32"/>
          <w:lang w:val="en-US" w:eastAsia="zh-CN"/>
        </w:rPr>
        <w:t xml:space="preserve">                     采购项目</w:t>
      </w: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p>
    <w:p>
      <w:pPr>
        <w:rPr>
          <w:rFonts w:hint="eastAsia"/>
          <w:b/>
          <w:bCs/>
          <w:sz w:val="28"/>
          <w:szCs w:val="28"/>
          <w:lang w:val="en-US" w:eastAsia="zh-CN"/>
        </w:rPr>
      </w:pPr>
      <w:r>
        <w:rPr>
          <w:rFonts w:hint="eastAsia"/>
          <w:b/>
          <w:bCs/>
          <w:sz w:val="28"/>
          <w:szCs w:val="28"/>
          <w:lang w:val="en-US" w:eastAsia="zh-CN"/>
        </w:rPr>
        <w:t xml:space="preserve">                 </w:t>
      </w:r>
    </w:p>
    <w:p>
      <w:pPr>
        <w:ind w:firstLine="2530" w:firstLineChars="300"/>
        <w:rPr>
          <w:rFonts w:hint="eastAsia"/>
          <w:b/>
          <w:bCs/>
          <w:sz w:val="84"/>
          <w:szCs w:val="84"/>
          <w:lang w:val="en-US" w:eastAsia="zh-CN"/>
        </w:rPr>
      </w:pPr>
      <w:r>
        <w:rPr>
          <w:rFonts w:hint="eastAsia"/>
          <w:b/>
          <w:bCs/>
          <w:sz w:val="84"/>
          <w:szCs w:val="84"/>
          <w:lang w:val="en-US" w:eastAsia="zh-CN"/>
        </w:rPr>
        <w:t>采购文件</w:t>
      </w:r>
    </w:p>
    <w:p>
      <w:pPr>
        <w:ind w:firstLine="2530" w:firstLineChars="300"/>
        <w:rPr>
          <w:rFonts w:hint="eastAsia"/>
          <w:b/>
          <w:bCs/>
          <w:sz w:val="84"/>
          <w:szCs w:val="84"/>
          <w:lang w:val="en-US" w:eastAsia="zh-CN"/>
        </w:rPr>
      </w:pPr>
    </w:p>
    <w:p>
      <w:pPr>
        <w:ind w:firstLine="2530" w:firstLineChars="300"/>
        <w:rPr>
          <w:rFonts w:hint="eastAsia"/>
          <w:b/>
          <w:bCs/>
          <w:sz w:val="84"/>
          <w:szCs w:val="84"/>
          <w:lang w:val="en-US" w:eastAsia="zh-CN"/>
        </w:rPr>
      </w:pPr>
    </w:p>
    <w:p>
      <w:pPr>
        <w:ind w:firstLine="2530" w:firstLineChars="300"/>
        <w:rPr>
          <w:rFonts w:hint="eastAsia"/>
          <w:b/>
          <w:bCs/>
          <w:sz w:val="84"/>
          <w:szCs w:val="84"/>
          <w:lang w:val="en-US" w:eastAsia="zh-CN"/>
        </w:rPr>
      </w:pPr>
    </w:p>
    <w:p>
      <w:pPr>
        <w:ind w:firstLine="2530" w:firstLineChars="300"/>
        <w:rPr>
          <w:rFonts w:hint="eastAsia"/>
          <w:b/>
          <w:bCs/>
          <w:sz w:val="84"/>
          <w:szCs w:val="84"/>
          <w:lang w:val="en-US" w:eastAsia="zh-CN"/>
        </w:rPr>
      </w:pPr>
    </w:p>
    <w:p>
      <w:pPr>
        <w:ind w:firstLine="2249" w:firstLineChars="700"/>
        <w:rPr>
          <w:rFonts w:hint="eastAsia"/>
          <w:b/>
          <w:bCs/>
          <w:sz w:val="32"/>
          <w:szCs w:val="32"/>
          <w:lang w:val="en-US" w:eastAsia="zh-CN"/>
        </w:rPr>
      </w:pPr>
      <w:r>
        <w:rPr>
          <w:rFonts w:hint="eastAsia"/>
          <w:b/>
          <w:bCs/>
          <w:sz w:val="32"/>
          <w:szCs w:val="32"/>
          <w:lang w:val="en-US" w:eastAsia="zh-CN"/>
        </w:rPr>
        <w:t>采购单位：台州市中医院</w:t>
      </w:r>
    </w:p>
    <w:p>
      <w:pPr>
        <w:ind w:firstLine="2891" w:firstLineChars="900"/>
        <w:rPr>
          <w:rFonts w:hint="default"/>
          <w:b/>
          <w:bCs/>
          <w:sz w:val="32"/>
          <w:szCs w:val="32"/>
          <w:lang w:val="en-US" w:eastAsia="zh-CN"/>
        </w:rPr>
      </w:pPr>
      <w:r>
        <w:rPr>
          <w:rFonts w:hint="eastAsia"/>
          <w:b/>
          <w:bCs/>
          <w:sz w:val="32"/>
          <w:szCs w:val="32"/>
          <w:lang w:val="en-US" w:eastAsia="zh-CN"/>
        </w:rPr>
        <w:t>2023年4月3日</w:t>
      </w:r>
    </w:p>
    <w:p>
      <w:pPr>
        <w:rPr>
          <w:rFonts w:hint="eastAsia"/>
          <w:b/>
          <w:bCs/>
          <w:sz w:val="84"/>
          <w:szCs w:val="84"/>
          <w:lang w:val="en-US" w:eastAsia="zh-CN"/>
        </w:rPr>
      </w:pPr>
    </w:p>
    <w:p>
      <w:pPr>
        <w:spacing w:line="360" w:lineRule="auto"/>
        <w:jc w:val="center"/>
        <w:rPr>
          <w:rFonts w:ascii="宋体" w:cs="Arial"/>
          <w:b/>
          <w:bCs/>
          <w:color w:val="auto"/>
          <w:sz w:val="36"/>
          <w:szCs w:val="36"/>
        </w:rPr>
      </w:pPr>
      <w:r>
        <w:rPr>
          <w:rFonts w:hint="eastAsia" w:ascii="宋体" w:hAnsi="宋体" w:cs="Arial"/>
          <w:b/>
          <w:bCs/>
          <w:color w:val="auto"/>
          <w:sz w:val="36"/>
          <w:szCs w:val="36"/>
        </w:rPr>
        <w:t>目  录</w:t>
      </w:r>
    </w:p>
    <w:p>
      <w:pPr>
        <w:spacing w:line="360" w:lineRule="auto"/>
        <w:rPr>
          <w:rFonts w:hint="default" w:ascii="新宋体" w:hAnsi="新宋体" w:eastAsia="新宋体"/>
          <w:color w:val="auto"/>
          <w:sz w:val="48"/>
          <w:szCs w:val="48"/>
          <w:lang w:val="en-US" w:eastAsia="zh-CN"/>
        </w:rPr>
      </w:pPr>
      <w:r>
        <w:rPr>
          <w:rFonts w:hint="eastAsia" w:ascii="新宋体" w:hAnsi="新宋体" w:eastAsia="新宋体"/>
          <w:color w:val="auto"/>
          <w:sz w:val="28"/>
          <w:szCs w:val="28"/>
          <w:lang w:val="en-US" w:eastAsia="zh-CN"/>
        </w:rPr>
        <w:t xml:space="preserve">                         </w:t>
      </w:r>
      <w:r>
        <w:rPr>
          <w:rFonts w:hint="eastAsia" w:ascii="新宋体" w:hAnsi="新宋体" w:eastAsia="新宋体"/>
          <w:b/>
          <w:bCs/>
          <w:color w:val="auto"/>
          <w:sz w:val="48"/>
          <w:szCs w:val="48"/>
          <w:lang w:val="en-US" w:eastAsia="zh-CN"/>
        </w:rPr>
        <w:t>目录</w:t>
      </w:r>
    </w:p>
    <w:p>
      <w:pPr>
        <w:numPr>
          <w:ilvl w:val="0"/>
          <w:numId w:val="1"/>
        </w:numPr>
        <w:spacing w:line="360" w:lineRule="auto"/>
        <w:ind w:left="1020" w:leftChars="0" w:firstLineChars="0"/>
        <w:rPr>
          <w:rFonts w:ascii="宋体"/>
          <w:b/>
          <w:color w:val="auto"/>
          <w:sz w:val="28"/>
          <w:szCs w:val="28"/>
        </w:rPr>
      </w:pPr>
      <w:r>
        <w:rPr>
          <w:rFonts w:hint="eastAsia" w:ascii="宋体" w:hAnsi="宋体"/>
          <w:b/>
          <w:color w:val="auto"/>
          <w:sz w:val="28"/>
          <w:szCs w:val="28"/>
        </w:rPr>
        <w:t>投标人须知</w:t>
      </w:r>
    </w:p>
    <w:p>
      <w:pPr>
        <w:numPr>
          <w:ilvl w:val="0"/>
          <w:numId w:val="1"/>
        </w:numPr>
        <w:spacing w:line="360" w:lineRule="auto"/>
        <w:ind w:left="1020" w:leftChars="0" w:firstLineChars="0"/>
        <w:rPr>
          <w:rFonts w:ascii="宋体"/>
          <w:b/>
          <w:color w:val="auto"/>
          <w:sz w:val="28"/>
          <w:szCs w:val="28"/>
        </w:rPr>
      </w:pPr>
      <w:r>
        <w:rPr>
          <w:rFonts w:hint="eastAsia" w:ascii="宋体" w:hAnsi="宋体"/>
          <w:b/>
          <w:color w:val="auto"/>
          <w:sz w:val="28"/>
          <w:szCs w:val="28"/>
        </w:rPr>
        <w:t>评标办法及评分标准</w:t>
      </w:r>
    </w:p>
    <w:p>
      <w:pPr>
        <w:numPr>
          <w:ilvl w:val="0"/>
          <w:numId w:val="1"/>
        </w:numPr>
        <w:spacing w:line="360" w:lineRule="auto"/>
        <w:ind w:left="1020" w:leftChars="0" w:firstLineChars="0"/>
        <w:rPr>
          <w:rFonts w:ascii="宋体"/>
          <w:b/>
          <w:color w:val="auto"/>
          <w:sz w:val="28"/>
          <w:szCs w:val="28"/>
        </w:rPr>
      </w:pPr>
      <w:r>
        <w:rPr>
          <w:rFonts w:hint="eastAsia" w:ascii="宋体" w:hAnsi="宋体"/>
          <w:b/>
          <w:color w:val="auto"/>
          <w:sz w:val="28"/>
          <w:szCs w:val="28"/>
        </w:rPr>
        <w:t>合同主要条款指引</w:t>
      </w:r>
    </w:p>
    <w:p>
      <w:pPr>
        <w:numPr>
          <w:ilvl w:val="0"/>
          <w:numId w:val="1"/>
        </w:numPr>
        <w:spacing w:line="360" w:lineRule="auto"/>
        <w:ind w:left="1020" w:leftChars="0" w:firstLineChars="0"/>
        <w:rPr>
          <w:rFonts w:ascii="宋体"/>
          <w:b/>
          <w:color w:val="auto"/>
          <w:sz w:val="28"/>
          <w:szCs w:val="28"/>
        </w:rPr>
      </w:pPr>
      <w:r>
        <w:rPr>
          <w:rFonts w:hint="eastAsia" w:ascii="宋体" w:hAnsi="宋体"/>
          <w:b/>
          <w:color w:val="auto"/>
          <w:sz w:val="28"/>
          <w:szCs w:val="28"/>
        </w:rPr>
        <w:t>投标文件格式附件</w:t>
      </w: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numPr>
          <w:ilvl w:val="0"/>
          <w:numId w:val="2"/>
        </w:numPr>
        <w:spacing w:line="360" w:lineRule="auto"/>
        <w:ind w:left="0" w:leftChars="0" w:firstLine="0" w:firstLineChars="0"/>
        <w:jc w:val="center"/>
        <w:rPr>
          <w:rFonts w:ascii="宋体"/>
          <w:b/>
          <w:color w:val="auto"/>
          <w:sz w:val="36"/>
          <w:szCs w:val="36"/>
        </w:rPr>
      </w:pPr>
      <w:r>
        <w:rPr>
          <w:rFonts w:hint="eastAsia" w:ascii="宋体" w:hAnsi="宋体"/>
          <w:b/>
          <w:color w:val="auto"/>
          <w:sz w:val="36"/>
          <w:szCs w:val="36"/>
        </w:rPr>
        <w:t>投标人须知</w:t>
      </w:r>
    </w:p>
    <w:p>
      <w:pPr>
        <w:spacing w:line="360" w:lineRule="auto"/>
        <w:jc w:val="left"/>
        <w:rPr>
          <w:rFonts w:ascii="宋体"/>
          <w:b/>
          <w:color w:val="auto"/>
          <w:sz w:val="24"/>
        </w:rPr>
      </w:pPr>
      <w:r>
        <w:rPr>
          <w:rFonts w:hint="eastAsia" w:ascii="宋体" w:hAnsi="宋体"/>
          <w:b/>
          <w:color w:val="auto"/>
          <w:sz w:val="24"/>
        </w:rPr>
        <w:t>前附表</w:t>
      </w:r>
    </w:p>
    <w:tbl>
      <w:tblPr>
        <w:tblStyle w:val="9"/>
        <w:tblW w:w="8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5"/>
        <w:gridCol w:w="1765"/>
        <w:gridCol w:w="6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ascii="宋体" w:hAnsi="宋体" w:cs="宋体"/>
                <w:b/>
                <w:bCs/>
                <w:color w:val="auto"/>
                <w:sz w:val="22"/>
                <w:szCs w:val="22"/>
              </w:rPr>
            </w:pPr>
            <w:r>
              <w:rPr>
                <w:rFonts w:hint="eastAsia" w:ascii="宋体" w:hAnsi="宋体" w:cs="宋体"/>
                <w:b/>
                <w:bCs/>
                <w:color w:val="auto"/>
                <w:sz w:val="22"/>
                <w:szCs w:val="22"/>
              </w:rPr>
              <w:t>序号</w:t>
            </w:r>
          </w:p>
        </w:tc>
        <w:tc>
          <w:tcPr>
            <w:tcW w:w="1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ascii="宋体" w:hAnsi="宋体" w:cs="宋体"/>
                <w:b/>
                <w:bCs/>
                <w:color w:val="auto"/>
                <w:sz w:val="22"/>
                <w:szCs w:val="22"/>
              </w:rPr>
            </w:pPr>
            <w:r>
              <w:rPr>
                <w:rFonts w:hint="eastAsia" w:ascii="宋体" w:hAnsi="宋体" w:cs="宋体"/>
                <w:b/>
                <w:bCs/>
                <w:color w:val="auto"/>
                <w:sz w:val="22"/>
                <w:szCs w:val="22"/>
              </w:rPr>
              <w:t>项    目</w:t>
            </w:r>
          </w:p>
        </w:tc>
        <w:tc>
          <w:tcPr>
            <w:tcW w:w="6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ascii="宋体" w:hAnsi="宋体" w:cs="宋体"/>
                <w:b/>
                <w:bCs/>
                <w:color w:val="auto"/>
                <w:sz w:val="22"/>
                <w:szCs w:val="22"/>
              </w:rPr>
            </w:pPr>
            <w:r>
              <w:rPr>
                <w:rFonts w:hint="eastAsia" w:ascii="宋体" w:hAnsi="宋体" w:cs="宋体"/>
                <w:b/>
                <w:bCs/>
                <w:color w:val="auto"/>
                <w:sz w:val="22"/>
                <w:szCs w:val="22"/>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1</w:t>
            </w:r>
          </w:p>
        </w:tc>
        <w:tc>
          <w:tcPr>
            <w:tcW w:w="1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供应商特定资格要求</w:t>
            </w:r>
          </w:p>
        </w:tc>
        <w:tc>
          <w:tcPr>
            <w:tcW w:w="6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符合招标公告资格要求的供应商。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cs="宋体" w:eastAsiaTheme="minorEastAsia"/>
                <w:color w:val="auto"/>
                <w:sz w:val="22"/>
                <w:szCs w:val="22"/>
                <w:highlight w:val="none"/>
                <w:lang w:eastAsia="zh-CN"/>
              </w:rPr>
            </w:pPr>
            <w:r>
              <w:rPr>
                <w:rFonts w:hint="eastAsia" w:ascii="宋体" w:hAnsi="宋体" w:cs="宋体"/>
                <w:color w:val="auto"/>
                <w:sz w:val="22"/>
                <w:szCs w:val="22"/>
                <w:highlight w:val="none"/>
                <w:lang w:val="en-US" w:eastAsia="zh-CN"/>
              </w:rPr>
              <w:t>2</w:t>
            </w:r>
          </w:p>
        </w:tc>
        <w:tc>
          <w:tcPr>
            <w:tcW w:w="1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投标文件包装要求</w:t>
            </w:r>
          </w:p>
        </w:tc>
        <w:tc>
          <w:tcPr>
            <w:tcW w:w="6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textAlignment w:val="auto"/>
              <w:rPr>
                <w:rFonts w:ascii="宋体" w:hAnsi="宋体" w:cs="宋体"/>
                <w:color w:val="auto"/>
                <w:sz w:val="22"/>
                <w:szCs w:val="22"/>
                <w:highlight w:val="none"/>
              </w:rPr>
            </w:pPr>
            <w:r>
              <w:rPr>
                <w:rFonts w:hint="eastAsia" w:ascii="宋体" w:hAnsi="宋体" w:cs="宋体"/>
                <w:color w:val="auto"/>
                <w:sz w:val="22"/>
                <w:szCs w:val="22"/>
                <w:highlight w:val="none"/>
              </w:rPr>
              <w:t>投标文件中的报价文件必须与其他文件分开各自密封包装。</w:t>
            </w:r>
          </w:p>
          <w:p>
            <w:pPr>
              <w:keepNext w:val="0"/>
              <w:keepLines w:val="0"/>
              <w:pageBreakBefore w:val="0"/>
              <w:widowControl w:val="0"/>
              <w:kinsoku/>
              <w:wordWrap/>
              <w:overflowPunct/>
              <w:topLinePunct w:val="0"/>
              <w:bidi w:val="0"/>
              <w:snapToGrid/>
              <w:spacing w:line="240" w:lineRule="auto"/>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投标文件份数正本</w:t>
            </w:r>
            <w:r>
              <w:rPr>
                <w:rFonts w:hint="eastAsia" w:ascii="宋体" w:hAnsi="宋体" w:cs="Arial"/>
                <w:color w:val="auto"/>
                <w:sz w:val="22"/>
                <w:szCs w:val="22"/>
                <w:highlight w:val="none"/>
              </w:rPr>
              <w:t>1</w:t>
            </w:r>
            <w:r>
              <w:rPr>
                <w:rFonts w:hint="eastAsia" w:ascii="宋体" w:hAnsi="宋体" w:cs="宋体"/>
                <w:color w:val="auto"/>
                <w:sz w:val="22"/>
                <w:szCs w:val="22"/>
                <w:highlight w:val="none"/>
              </w:rPr>
              <w:t>份、副本</w:t>
            </w:r>
            <w:r>
              <w:rPr>
                <w:rFonts w:hint="eastAsia" w:ascii="宋体" w:hAnsi="宋体" w:cs="Arial"/>
                <w:color w:val="auto"/>
                <w:sz w:val="22"/>
                <w:szCs w:val="22"/>
                <w:highlight w:val="none"/>
              </w:rPr>
              <w:t>4</w:t>
            </w:r>
            <w:r>
              <w:rPr>
                <w:rFonts w:hint="eastAsia" w:ascii="宋体" w:hAnsi="宋体" w:cs="宋体"/>
                <w:color w:val="auto"/>
                <w:sz w:val="22"/>
                <w:szCs w:val="22"/>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cs="宋体" w:eastAsiaTheme="minorEastAsia"/>
                <w:color w:val="auto"/>
                <w:sz w:val="22"/>
                <w:szCs w:val="22"/>
                <w:highlight w:val="none"/>
                <w:lang w:eastAsia="zh-CN"/>
              </w:rPr>
            </w:pPr>
            <w:r>
              <w:rPr>
                <w:rFonts w:hint="eastAsia" w:ascii="宋体" w:hAnsi="宋体" w:cs="宋体"/>
                <w:color w:val="auto"/>
                <w:sz w:val="22"/>
                <w:szCs w:val="22"/>
                <w:highlight w:val="none"/>
                <w:lang w:val="en-US" w:eastAsia="zh-CN"/>
              </w:rPr>
              <w:t>3</w:t>
            </w:r>
          </w:p>
        </w:tc>
        <w:tc>
          <w:tcPr>
            <w:tcW w:w="1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投标有效期</w:t>
            </w:r>
          </w:p>
        </w:tc>
        <w:tc>
          <w:tcPr>
            <w:tcW w:w="6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textAlignment w:val="auto"/>
              <w:rPr>
                <w:rFonts w:ascii="宋体" w:hAnsi="宋体" w:cs="宋体"/>
                <w:color w:val="auto"/>
                <w:sz w:val="22"/>
                <w:szCs w:val="22"/>
                <w:highlight w:val="none"/>
              </w:rPr>
            </w:pPr>
            <w:r>
              <w:rPr>
                <w:rFonts w:hint="eastAsia" w:ascii="宋体" w:hAnsi="宋体" w:cs="宋体"/>
                <w:color w:val="auto"/>
                <w:sz w:val="22"/>
                <w:szCs w:val="22"/>
                <w:highlight w:val="none"/>
              </w:rPr>
              <w:t>投标有效期为开标后</w:t>
            </w:r>
            <w:r>
              <w:rPr>
                <w:rFonts w:hint="eastAsia" w:ascii="宋体" w:hAnsi="宋体" w:cs="宋体"/>
                <w:color w:val="auto"/>
                <w:sz w:val="22"/>
                <w:szCs w:val="22"/>
                <w:highlight w:val="none"/>
                <w:lang w:val="en-US" w:eastAsia="zh-CN"/>
              </w:rPr>
              <w:t>60</w:t>
            </w:r>
            <w:r>
              <w:rPr>
                <w:rFonts w:hint="eastAsia" w:ascii="宋体" w:hAnsi="宋体" w:cs="宋体"/>
                <w:color w:val="auto"/>
                <w:sz w:val="22"/>
                <w:szCs w:val="22"/>
                <w:highlight w:val="none"/>
              </w:rPr>
              <w:t>天，</w:t>
            </w:r>
            <w:r>
              <w:rPr>
                <w:rFonts w:hint="eastAsia" w:ascii="宋体" w:hAnsi="宋体" w:cs="宋体"/>
                <w:color w:val="auto"/>
                <w:kern w:val="0"/>
                <w:sz w:val="22"/>
                <w:szCs w:val="22"/>
                <w:highlight w:val="none"/>
              </w:rPr>
              <w:t>投标有效期从提交投标文件的截止之日起算。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cs="宋体" w:eastAsiaTheme="minorEastAsia"/>
                <w:color w:val="auto"/>
                <w:sz w:val="22"/>
                <w:szCs w:val="22"/>
                <w:highlight w:val="none"/>
                <w:lang w:eastAsia="zh-CN"/>
              </w:rPr>
            </w:pPr>
            <w:r>
              <w:rPr>
                <w:rFonts w:hint="eastAsia" w:ascii="宋体" w:hAnsi="宋体" w:cs="宋体"/>
                <w:color w:val="auto"/>
                <w:sz w:val="22"/>
                <w:szCs w:val="22"/>
                <w:highlight w:val="none"/>
                <w:lang w:val="en-US" w:eastAsia="zh-CN"/>
              </w:rPr>
              <w:t>4</w:t>
            </w:r>
          </w:p>
        </w:tc>
        <w:tc>
          <w:tcPr>
            <w:tcW w:w="1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投标文件递交</w:t>
            </w:r>
          </w:p>
        </w:tc>
        <w:tc>
          <w:tcPr>
            <w:tcW w:w="6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截止时间：北京时间</w:t>
            </w:r>
            <w:r>
              <w:rPr>
                <w:rFonts w:hint="eastAsia" w:ascii="宋体" w:hAnsi="宋体" w:cs="宋体"/>
                <w:color w:val="auto"/>
                <w:sz w:val="22"/>
                <w:szCs w:val="22"/>
                <w:highlight w:val="none"/>
                <w:lang w:eastAsia="zh-CN"/>
              </w:rPr>
              <w:t>202</w:t>
            </w:r>
            <w:r>
              <w:rPr>
                <w:rFonts w:hint="eastAsia" w:ascii="宋体" w:hAnsi="宋体" w:cs="宋体"/>
                <w:color w:val="auto"/>
                <w:sz w:val="22"/>
                <w:szCs w:val="22"/>
                <w:highlight w:val="none"/>
                <w:lang w:val="en-US" w:eastAsia="zh-CN"/>
              </w:rPr>
              <w:t>3</w:t>
            </w:r>
            <w:r>
              <w:rPr>
                <w:rFonts w:hint="eastAsia" w:ascii="宋体" w:hAnsi="宋体" w:cs="宋体"/>
                <w:color w:val="auto"/>
                <w:sz w:val="22"/>
                <w:szCs w:val="22"/>
                <w:highlight w:val="none"/>
                <w:lang w:eastAsia="zh-CN"/>
              </w:rPr>
              <w:t>年</w:t>
            </w:r>
            <w:r>
              <w:rPr>
                <w:rFonts w:hint="eastAsia" w:ascii="宋体" w:hAnsi="宋体" w:cs="宋体"/>
                <w:color w:val="auto"/>
                <w:sz w:val="22"/>
                <w:szCs w:val="22"/>
                <w:highlight w:val="none"/>
                <w:lang w:val="en-US" w:eastAsia="zh-CN"/>
              </w:rPr>
              <w:t xml:space="preserve"> 4</w:t>
            </w:r>
            <w:r>
              <w:rPr>
                <w:rFonts w:hint="eastAsia" w:ascii="宋体" w:hAnsi="宋体" w:cs="宋体"/>
                <w:color w:val="auto"/>
                <w:sz w:val="22"/>
                <w:szCs w:val="22"/>
                <w:highlight w:val="none"/>
                <w:lang w:eastAsia="zh-CN"/>
              </w:rPr>
              <w:t>月</w:t>
            </w:r>
            <w:r>
              <w:rPr>
                <w:rFonts w:hint="eastAsia" w:ascii="宋体" w:hAnsi="宋体" w:cs="宋体"/>
                <w:color w:val="auto"/>
                <w:sz w:val="22"/>
                <w:szCs w:val="22"/>
                <w:highlight w:val="none"/>
                <w:lang w:val="en-US" w:eastAsia="zh-CN"/>
              </w:rPr>
              <w:t>12</w:t>
            </w:r>
            <w:r>
              <w:rPr>
                <w:rFonts w:hint="eastAsia" w:ascii="宋体" w:hAnsi="宋体" w:cs="宋体"/>
                <w:color w:val="auto"/>
                <w:sz w:val="22"/>
                <w:szCs w:val="22"/>
                <w:highlight w:val="none"/>
                <w:lang w:eastAsia="zh-CN"/>
              </w:rPr>
              <w:t>日</w:t>
            </w:r>
            <w:r>
              <w:rPr>
                <w:rFonts w:hint="eastAsia" w:ascii="宋体" w:hAnsi="宋体" w:cs="宋体"/>
                <w:color w:val="auto"/>
                <w:sz w:val="22"/>
                <w:szCs w:val="22"/>
                <w:highlight w:val="none"/>
                <w:lang w:val="en-US" w:eastAsia="zh-CN"/>
              </w:rPr>
              <w:t>1</w:t>
            </w:r>
            <w:r>
              <w:rPr>
                <w:rFonts w:hint="eastAsia" w:ascii="宋体" w:hAnsi="宋体" w:eastAsia="宋体" w:cs="宋体"/>
                <w:b/>
                <w:bCs/>
                <w:color w:val="auto"/>
                <w:sz w:val="22"/>
                <w:szCs w:val="22"/>
                <w:highlight w:val="none"/>
                <w:lang w:val="en-US" w:eastAsia="zh-CN"/>
              </w:rPr>
              <w:t>2</w:t>
            </w:r>
            <w:r>
              <w:rPr>
                <w:rFonts w:hint="eastAsia" w:ascii="宋体" w:hAnsi="宋体" w:eastAsia="宋体" w:cs="宋体"/>
                <w:b/>
                <w:bCs/>
                <w:color w:val="auto"/>
                <w:sz w:val="22"/>
                <w:szCs w:val="22"/>
                <w:highlight w:val="none"/>
              </w:rPr>
              <w:t>时00分</w:t>
            </w:r>
          </w:p>
          <w:p>
            <w:pPr>
              <w:keepNext w:val="0"/>
              <w:keepLines w:val="0"/>
              <w:pageBreakBefore w:val="0"/>
              <w:widowControl w:val="0"/>
              <w:kinsoku/>
              <w:wordWrap/>
              <w:overflowPunct/>
              <w:topLinePunct w:val="0"/>
              <w:bidi w:val="0"/>
              <w:snapToGrid/>
              <w:spacing w:line="240" w:lineRule="auto"/>
              <w:textAlignment w:val="auto"/>
              <w:rPr>
                <w:rFonts w:hint="eastAsia" w:ascii="宋体" w:hAnsi="宋体" w:cs="宋体" w:eastAsiaTheme="minorEastAsia"/>
                <w:color w:val="auto"/>
                <w:sz w:val="22"/>
                <w:szCs w:val="22"/>
                <w:highlight w:val="none"/>
                <w:lang w:eastAsia="zh-CN"/>
              </w:rPr>
            </w:pPr>
            <w:r>
              <w:rPr>
                <w:rFonts w:hint="eastAsia" w:ascii="宋体" w:hAnsi="宋体" w:cs="宋体"/>
                <w:color w:val="auto"/>
                <w:sz w:val="22"/>
                <w:szCs w:val="22"/>
                <w:highlight w:val="none"/>
              </w:rPr>
              <w:t>地点：</w:t>
            </w:r>
            <w:r>
              <w:rPr>
                <w:rFonts w:hint="eastAsia" w:ascii="宋体" w:hAnsi="宋体" w:eastAsia="宋体" w:cs="宋体"/>
                <w:color w:val="auto"/>
                <w:sz w:val="22"/>
                <w:szCs w:val="22"/>
                <w:highlight w:val="none"/>
                <w:lang w:eastAsia="zh-CN"/>
              </w:rPr>
              <w:t>台州市中医院</w:t>
            </w:r>
          </w:p>
          <w:p>
            <w:pPr>
              <w:keepNext w:val="0"/>
              <w:keepLines w:val="0"/>
              <w:pageBreakBefore w:val="0"/>
              <w:widowControl w:val="0"/>
              <w:kinsoku/>
              <w:wordWrap/>
              <w:overflowPunct/>
              <w:topLinePunct w:val="0"/>
              <w:bidi w:val="0"/>
              <w:snapToGrid/>
              <w:spacing w:line="240" w:lineRule="auto"/>
              <w:textAlignment w:val="auto"/>
              <w:rPr>
                <w:rFonts w:ascii="宋体" w:hAnsi="宋体" w:cs="宋体"/>
                <w:color w:val="auto"/>
                <w:sz w:val="22"/>
                <w:szCs w:val="22"/>
                <w:highlight w:val="none"/>
              </w:rPr>
            </w:pPr>
            <w:r>
              <w:rPr>
                <w:rFonts w:hint="eastAsia" w:ascii="宋体" w:hAnsi="宋体" w:cs="宋体"/>
                <w:color w:val="auto"/>
                <w:sz w:val="22"/>
                <w:szCs w:val="22"/>
                <w:highlight w:val="none"/>
              </w:rPr>
              <w:t>逾期送达的投标文件恕不接受。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cs="宋体" w:eastAsiaTheme="minorEastAsia"/>
                <w:color w:val="auto"/>
                <w:sz w:val="22"/>
                <w:szCs w:val="22"/>
                <w:highlight w:val="none"/>
                <w:lang w:eastAsia="zh-CN"/>
              </w:rPr>
            </w:pPr>
            <w:r>
              <w:rPr>
                <w:rFonts w:hint="eastAsia" w:ascii="宋体" w:hAnsi="宋体" w:cs="宋体"/>
                <w:color w:val="auto"/>
                <w:sz w:val="22"/>
                <w:szCs w:val="22"/>
                <w:highlight w:val="none"/>
                <w:lang w:val="en-US" w:eastAsia="zh-CN"/>
              </w:rPr>
              <w:t>5</w:t>
            </w:r>
          </w:p>
        </w:tc>
        <w:tc>
          <w:tcPr>
            <w:tcW w:w="1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ascii="宋体" w:hAnsi="宋体" w:cs="宋体"/>
                <w:color w:val="auto"/>
                <w:sz w:val="22"/>
                <w:szCs w:val="22"/>
                <w:highlight w:val="none"/>
              </w:rPr>
            </w:pPr>
            <w:r>
              <w:rPr>
                <w:rFonts w:hint="eastAsia" w:ascii="宋体" w:hAnsi="宋体" w:cs="宋体"/>
                <w:color w:val="auto"/>
                <w:sz w:val="22"/>
                <w:szCs w:val="22"/>
                <w:highlight w:val="none"/>
              </w:rPr>
              <w:t>开标时间及地点</w:t>
            </w:r>
          </w:p>
        </w:tc>
        <w:tc>
          <w:tcPr>
            <w:tcW w:w="6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时间：北京时间</w:t>
            </w:r>
            <w:r>
              <w:rPr>
                <w:rFonts w:hint="eastAsia" w:ascii="宋体" w:hAnsi="宋体" w:cs="宋体"/>
                <w:color w:val="auto"/>
                <w:sz w:val="22"/>
                <w:szCs w:val="22"/>
                <w:highlight w:val="none"/>
                <w:lang w:eastAsia="zh-CN"/>
              </w:rPr>
              <w:t>202</w:t>
            </w:r>
            <w:r>
              <w:rPr>
                <w:rFonts w:hint="eastAsia" w:ascii="宋体" w:hAnsi="宋体" w:cs="宋体"/>
                <w:color w:val="auto"/>
                <w:sz w:val="22"/>
                <w:szCs w:val="22"/>
                <w:highlight w:val="none"/>
                <w:lang w:val="en-US" w:eastAsia="zh-CN"/>
              </w:rPr>
              <w:t>2</w:t>
            </w:r>
            <w:r>
              <w:rPr>
                <w:rFonts w:hint="eastAsia" w:ascii="宋体" w:hAnsi="宋体" w:cs="宋体"/>
                <w:color w:val="auto"/>
                <w:sz w:val="22"/>
                <w:szCs w:val="22"/>
                <w:highlight w:val="none"/>
                <w:lang w:eastAsia="zh-CN"/>
              </w:rPr>
              <w:t>年</w:t>
            </w:r>
            <w:r>
              <w:rPr>
                <w:rFonts w:hint="eastAsia" w:ascii="宋体" w:hAnsi="宋体" w:cs="宋体"/>
                <w:color w:val="auto"/>
                <w:sz w:val="22"/>
                <w:szCs w:val="22"/>
                <w:highlight w:val="none"/>
                <w:lang w:val="en-US" w:eastAsia="zh-CN"/>
              </w:rPr>
              <w:t xml:space="preserve"> 4</w:t>
            </w:r>
            <w:r>
              <w:rPr>
                <w:rFonts w:hint="eastAsia" w:ascii="宋体" w:hAnsi="宋体" w:cs="宋体"/>
                <w:color w:val="auto"/>
                <w:sz w:val="22"/>
                <w:szCs w:val="22"/>
                <w:highlight w:val="none"/>
                <w:lang w:eastAsia="zh-CN"/>
              </w:rPr>
              <w:t>月</w:t>
            </w:r>
            <w:r>
              <w:rPr>
                <w:rFonts w:hint="eastAsia" w:ascii="宋体" w:hAnsi="宋体" w:cs="宋体"/>
                <w:color w:val="auto"/>
                <w:sz w:val="22"/>
                <w:szCs w:val="22"/>
                <w:highlight w:val="none"/>
                <w:lang w:val="en-US" w:eastAsia="zh-CN"/>
              </w:rPr>
              <w:t>12</w:t>
            </w:r>
            <w:bookmarkStart w:id="0" w:name="_GoBack"/>
            <w:bookmarkEnd w:id="0"/>
            <w:r>
              <w:rPr>
                <w:rFonts w:hint="eastAsia" w:ascii="宋体" w:hAnsi="宋体" w:cs="宋体"/>
                <w:color w:val="auto"/>
                <w:sz w:val="22"/>
                <w:szCs w:val="22"/>
                <w:highlight w:val="none"/>
                <w:lang w:eastAsia="zh-CN"/>
              </w:rPr>
              <w:t>日</w:t>
            </w:r>
            <w:r>
              <w:rPr>
                <w:rFonts w:hint="eastAsia" w:ascii="宋体" w:hAnsi="宋体" w:eastAsia="宋体" w:cs="宋体"/>
                <w:b/>
                <w:bCs/>
                <w:color w:val="auto"/>
                <w:sz w:val="22"/>
                <w:szCs w:val="22"/>
                <w:highlight w:val="none"/>
              </w:rPr>
              <w:t>1</w:t>
            </w:r>
            <w:r>
              <w:rPr>
                <w:rFonts w:hint="eastAsia" w:ascii="宋体" w:hAnsi="宋体" w:eastAsia="宋体" w:cs="宋体"/>
                <w:b/>
                <w:bCs/>
                <w:color w:val="auto"/>
                <w:sz w:val="22"/>
                <w:szCs w:val="22"/>
                <w:highlight w:val="none"/>
                <w:lang w:val="en-US" w:eastAsia="zh-CN"/>
              </w:rPr>
              <w:t>4</w:t>
            </w:r>
            <w:r>
              <w:rPr>
                <w:rFonts w:hint="eastAsia" w:ascii="宋体" w:hAnsi="宋体" w:eastAsia="宋体" w:cs="宋体"/>
                <w:b/>
                <w:bCs/>
                <w:color w:val="auto"/>
                <w:sz w:val="22"/>
                <w:szCs w:val="22"/>
                <w:highlight w:val="none"/>
              </w:rPr>
              <w:t>时00分</w:t>
            </w:r>
          </w:p>
          <w:p>
            <w:pPr>
              <w:keepNext w:val="0"/>
              <w:keepLines w:val="0"/>
              <w:pageBreakBefore w:val="0"/>
              <w:widowControl w:val="0"/>
              <w:kinsoku/>
              <w:wordWrap/>
              <w:overflowPunct/>
              <w:topLinePunct w:val="0"/>
              <w:bidi w:val="0"/>
              <w:snapToGrid/>
              <w:spacing w:line="240" w:lineRule="auto"/>
              <w:textAlignment w:val="auto"/>
              <w:rPr>
                <w:rFonts w:hint="eastAsia" w:ascii="宋体" w:hAnsi="宋体" w:cs="宋体"/>
                <w:color w:val="auto"/>
                <w:sz w:val="22"/>
                <w:szCs w:val="22"/>
                <w:highlight w:val="none"/>
              </w:rPr>
            </w:pPr>
            <w:r>
              <w:rPr>
                <w:rFonts w:hint="eastAsia" w:ascii="宋体" w:hAnsi="宋体" w:cs="宋体"/>
                <w:color w:val="auto"/>
                <w:sz w:val="22"/>
                <w:szCs w:val="22"/>
                <w:highlight w:val="none"/>
              </w:rPr>
              <w:t>地点：</w:t>
            </w:r>
            <w:r>
              <w:rPr>
                <w:rFonts w:hint="eastAsia" w:ascii="宋体" w:hAnsi="宋体" w:cs="宋体"/>
                <w:color w:val="auto"/>
                <w:sz w:val="22"/>
                <w:szCs w:val="22"/>
                <w:highlight w:val="none"/>
                <w:lang w:eastAsia="zh-CN"/>
              </w:rPr>
              <w:t>台州市中医院</w:t>
            </w:r>
            <w:r>
              <w:rPr>
                <w:rFonts w:hint="eastAsia" w:ascii="宋体" w:hAnsi="宋体" w:eastAsia="宋体" w:cs="宋体"/>
                <w:i w:val="0"/>
                <w:iCs w:val="0"/>
                <w:caps w:val="0"/>
                <w:color w:val="auto"/>
                <w:spacing w:val="0"/>
                <w:sz w:val="22"/>
                <w:szCs w:val="22"/>
                <w:highlight w:val="none"/>
                <w:shd w:val="clear" w:fill="FFFFFF"/>
              </w:rPr>
              <w:t>急诊综合楼5楼会议室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cs="宋体" w:eastAsiaTheme="minorEastAsia"/>
                <w:color w:val="auto"/>
                <w:sz w:val="22"/>
                <w:szCs w:val="22"/>
                <w:highlight w:val="none"/>
                <w:lang w:eastAsia="zh-CN"/>
              </w:rPr>
            </w:pPr>
            <w:r>
              <w:rPr>
                <w:rFonts w:hint="eastAsia" w:ascii="宋体" w:hAnsi="宋体" w:cs="宋体"/>
                <w:color w:val="auto"/>
                <w:sz w:val="22"/>
                <w:szCs w:val="22"/>
                <w:highlight w:val="none"/>
                <w:lang w:val="en-US" w:eastAsia="zh-CN"/>
              </w:rPr>
              <w:t>6</w:t>
            </w:r>
          </w:p>
        </w:tc>
        <w:tc>
          <w:tcPr>
            <w:tcW w:w="1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ascii="宋体" w:hAnsi="宋体" w:cs="宋体"/>
                <w:color w:val="auto"/>
                <w:sz w:val="22"/>
                <w:szCs w:val="22"/>
                <w:highlight w:val="none"/>
              </w:rPr>
            </w:pPr>
            <w:r>
              <w:rPr>
                <w:rFonts w:hint="eastAsia" w:ascii="宋体" w:hAnsi="宋体" w:eastAsia="宋体" w:cs="宋体"/>
                <w:color w:val="auto"/>
                <w:sz w:val="22"/>
                <w:szCs w:val="22"/>
                <w:highlight w:val="none"/>
                <w:lang w:val="en-US" w:eastAsia="zh-CN"/>
              </w:rPr>
              <w:t>最高投标限价</w:t>
            </w:r>
          </w:p>
        </w:tc>
        <w:tc>
          <w:tcPr>
            <w:tcW w:w="6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left"/>
              <w:textAlignment w:val="auto"/>
              <w:rPr>
                <w:rFonts w:ascii="宋体" w:hAnsi="宋体" w:cs="宋体"/>
                <w:color w:val="auto"/>
                <w:sz w:val="22"/>
                <w:szCs w:val="22"/>
                <w:highlight w:val="none"/>
              </w:rPr>
            </w:pPr>
            <w:r>
              <w:rPr>
                <w:rFonts w:hint="eastAsia" w:ascii="宋体" w:hAnsi="宋体" w:eastAsia="宋体" w:cs="宋体"/>
                <w:b/>
                <w:bCs/>
                <w:color w:val="auto"/>
                <w:sz w:val="22"/>
                <w:szCs w:val="22"/>
                <w:highlight w:val="none"/>
                <w:lang w:val="en-US" w:eastAsia="zh-CN"/>
              </w:rPr>
              <w:t>最高投标限价为200000元</w:t>
            </w:r>
            <w:r>
              <w:rPr>
                <w:rFonts w:hint="eastAsia" w:ascii="宋体" w:hAnsi="宋体" w:eastAsia="宋体" w:cs="宋体"/>
                <w:color w:val="auto"/>
                <w:sz w:val="22"/>
                <w:szCs w:val="22"/>
                <w:highlight w:val="none"/>
                <w:lang w:val="en-US" w:eastAsia="zh-CN"/>
              </w:rPr>
              <w:t>，所有超出最高投标限价的投保报价视为无效报价。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cs="宋体"/>
                <w:color w:val="auto"/>
                <w:kern w:val="2"/>
                <w:sz w:val="22"/>
                <w:szCs w:val="22"/>
                <w:highlight w:val="none"/>
                <w:lang w:val="en-US" w:eastAsia="zh-CN" w:bidi="ar-SA"/>
              </w:rPr>
            </w:pPr>
            <w:r>
              <w:rPr>
                <w:rFonts w:hint="eastAsia" w:ascii="宋体" w:hAnsi="宋体" w:cs="宋体"/>
                <w:color w:val="auto"/>
                <w:sz w:val="22"/>
                <w:szCs w:val="22"/>
                <w:highlight w:val="none"/>
                <w:lang w:val="en-US" w:eastAsia="zh-CN"/>
              </w:rPr>
              <w:t>7</w:t>
            </w:r>
          </w:p>
        </w:tc>
        <w:tc>
          <w:tcPr>
            <w:tcW w:w="1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shd w:val="clear" w:color="auto" w:fill="FFFFFF"/>
              <w:kinsoku/>
              <w:wordWrap/>
              <w:overflowPunct/>
              <w:topLinePunct w:val="0"/>
              <w:bidi w:val="0"/>
              <w:snapToGrid/>
              <w:spacing w:line="240" w:lineRule="auto"/>
              <w:jc w:val="center"/>
              <w:textAlignment w:val="auto"/>
              <w:rPr>
                <w:rFonts w:hint="eastAsia" w:ascii="宋体" w:hAnsi="宋体" w:cs="宋体"/>
                <w:color w:val="auto"/>
                <w:sz w:val="22"/>
                <w:szCs w:val="22"/>
                <w:highlight w:val="none"/>
              </w:rPr>
            </w:pPr>
            <w:r>
              <w:rPr>
                <w:rFonts w:hint="default" w:ascii="宋体" w:hAnsi="宋体"/>
                <w:color w:val="auto"/>
                <w:kern w:val="2"/>
                <w:sz w:val="22"/>
                <w:szCs w:val="22"/>
                <w:highlight w:val="none"/>
                <w:lang w:val="en-US" w:eastAsia="zh-CN" w:bidi="ar-SA"/>
              </w:rPr>
              <w:t>交货期</w:t>
            </w:r>
          </w:p>
        </w:tc>
        <w:tc>
          <w:tcPr>
            <w:tcW w:w="6498"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shd w:val="clear" w:color="auto" w:fill="FFFFFF"/>
              <w:kinsoku/>
              <w:wordWrap/>
              <w:overflowPunct/>
              <w:topLinePunct w:val="0"/>
              <w:bidi w:val="0"/>
              <w:snapToGrid/>
              <w:spacing w:line="240" w:lineRule="auto"/>
              <w:textAlignment w:val="auto"/>
              <w:rPr>
                <w:rFonts w:hint="eastAsia" w:ascii="宋体" w:hAnsi="宋体" w:eastAsia="宋体" w:cs="宋体"/>
                <w:color w:val="auto"/>
                <w:sz w:val="22"/>
                <w:szCs w:val="22"/>
                <w:highlight w:val="none"/>
                <w:lang w:val="en-US" w:eastAsia="zh-CN"/>
              </w:rPr>
            </w:pPr>
            <w:r>
              <w:rPr>
                <w:rFonts w:hint="default" w:ascii="宋体" w:hAnsi="宋体"/>
                <w:b/>
                <w:color w:val="auto"/>
                <w:kern w:val="2"/>
                <w:sz w:val="22"/>
                <w:szCs w:val="22"/>
                <w:highlight w:val="none"/>
                <w:lang w:val="en-US" w:eastAsia="zh-CN" w:bidi="ar-SA"/>
              </w:rPr>
              <w:t>合同签订后</w:t>
            </w:r>
            <w:r>
              <w:rPr>
                <w:rFonts w:hint="eastAsia" w:ascii="宋体" w:hAnsi="宋体"/>
                <w:b/>
                <w:color w:val="auto"/>
                <w:kern w:val="2"/>
                <w:sz w:val="22"/>
                <w:szCs w:val="22"/>
                <w:highlight w:val="none"/>
                <w:lang w:val="en-US" w:eastAsia="zh-CN" w:bidi="ar-SA"/>
              </w:rPr>
              <w:t>20天内完成供货及安装</w:t>
            </w:r>
            <w:r>
              <w:rPr>
                <w:rFonts w:hint="default" w:ascii="宋体" w:hAnsi="宋体"/>
                <w:b/>
                <w:color w:val="auto"/>
                <w:kern w:val="2"/>
                <w:sz w:val="22"/>
                <w:szCs w:val="22"/>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cs="宋体"/>
                <w:color w:val="auto"/>
                <w:kern w:val="2"/>
                <w:sz w:val="22"/>
                <w:szCs w:val="22"/>
                <w:highlight w:val="none"/>
                <w:lang w:val="en-US" w:eastAsia="zh-CN" w:bidi="ar-SA"/>
              </w:rPr>
            </w:pPr>
            <w:r>
              <w:rPr>
                <w:rFonts w:hint="eastAsia" w:ascii="宋体" w:hAnsi="宋体" w:cs="宋体"/>
                <w:color w:val="auto"/>
                <w:sz w:val="22"/>
                <w:szCs w:val="22"/>
                <w:highlight w:val="none"/>
                <w:lang w:val="en-US" w:eastAsia="zh-CN"/>
              </w:rPr>
              <w:t>8</w:t>
            </w:r>
          </w:p>
        </w:tc>
        <w:tc>
          <w:tcPr>
            <w:tcW w:w="1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解释权</w:t>
            </w:r>
          </w:p>
        </w:tc>
        <w:tc>
          <w:tcPr>
            <w:tcW w:w="6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hint="eastAsia" w:ascii="宋体" w:hAnsi="宋体" w:eastAsia="宋体" w:cs="宋体"/>
                <w:color w:val="auto"/>
                <w:sz w:val="22"/>
                <w:szCs w:val="22"/>
                <w:highlight w:val="none"/>
                <w:lang w:val="en-US" w:eastAsia="zh-CN"/>
              </w:rPr>
            </w:pPr>
            <w:r>
              <w:rPr>
                <w:rFonts w:hint="eastAsia" w:ascii="宋体" w:hAnsi="宋体" w:cs="宋体"/>
                <w:color w:val="auto"/>
                <w:sz w:val="22"/>
                <w:szCs w:val="22"/>
                <w:highlight w:val="none"/>
              </w:rPr>
              <w:t>本招标文件解释权属于采购人</w:t>
            </w:r>
            <w:r>
              <w:rPr>
                <w:rFonts w:hint="eastAsia" w:ascii="宋体" w:hAnsi="宋体" w:cs="Arial"/>
                <w:color w:val="auto"/>
                <w:sz w:val="22"/>
                <w:szCs w:val="2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color w:val="auto"/>
                <w:kern w:val="2"/>
                <w:sz w:val="22"/>
                <w:szCs w:val="22"/>
                <w:highlight w:val="none"/>
                <w:lang w:val="en-US" w:eastAsia="zh-CN" w:bidi="ar-SA"/>
              </w:rPr>
            </w:pPr>
          </w:p>
        </w:tc>
        <w:tc>
          <w:tcPr>
            <w:tcW w:w="1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宋体" w:hAnsi="宋体"/>
                <w:color w:val="auto"/>
                <w:kern w:val="2"/>
                <w:sz w:val="22"/>
                <w:szCs w:val="22"/>
                <w:highlight w:val="none"/>
                <w:lang w:val="en-US" w:eastAsia="zh-CN" w:bidi="ar-SA"/>
              </w:rPr>
            </w:pPr>
          </w:p>
        </w:tc>
        <w:tc>
          <w:tcPr>
            <w:tcW w:w="6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hint="default" w:ascii="宋体" w:hAnsi="宋体"/>
                <w:b/>
                <w:color w:val="auto"/>
                <w:kern w:val="2"/>
                <w:sz w:val="22"/>
                <w:szCs w:val="2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eastAsia" w:ascii="宋体" w:hAnsi="宋体" w:eastAsia="宋体" w:cs="宋体"/>
                <w:color w:val="auto"/>
                <w:kern w:val="2"/>
                <w:sz w:val="22"/>
                <w:szCs w:val="22"/>
                <w:highlight w:val="none"/>
                <w:lang w:val="en-US" w:eastAsia="zh-CN" w:bidi="ar-SA"/>
              </w:rPr>
            </w:pPr>
          </w:p>
        </w:tc>
        <w:tc>
          <w:tcPr>
            <w:tcW w:w="1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cs="宋体"/>
                <w:color w:val="auto"/>
                <w:sz w:val="22"/>
                <w:szCs w:val="22"/>
                <w:highlight w:val="none"/>
                <w:lang w:val="en-US" w:eastAsia="zh-CN"/>
              </w:rPr>
            </w:pPr>
          </w:p>
        </w:tc>
        <w:tc>
          <w:tcPr>
            <w:tcW w:w="6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hint="eastAsia" w:ascii="宋体" w:hAnsi="宋体" w:cs="宋体"/>
                <w:color w:val="auto"/>
                <w:sz w:val="22"/>
                <w:szCs w:val="22"/>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宋体" w:hAnsi="宋体" w:eastAsia="宋体" w:cs="宋体"/>
                <w:color w:val="auto"/>
                <w:kern w:val="2"/>
                <w:sz w:val="22"/>
                <w:szCs w:val="22"/>
                <w:lang w:val="en-US" w:eastAsia="zh-CN" w:bidi="ar-SA"/>
              </w:rPr>
            </w:pPr>
          </w:p>
        </w:tc>
        <w:tc>
          <w:tcPr>
            <w:tcW w:w="1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color w:val="auto"/>
                <w:sz w:val="22"/>
                <w:szCs w:val="22"/>
                <w:lang w:val="en-US" w:eastAsia="zh-CN"/>
              </w:rPr>
            </w:pPr>
          </w:p>
        </w:tc>
        <w:tc>
          <w:tcPr>
            <w:tcW w:w="6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hint="default" w:ascii="宋体" w:hAnsi="宋体" w:eastAsia="宋体" w:cs="宋体"/>
                <w:color w:val="auto"/>
                <w:kern w:val="0"/>
                <w:sz w:val="22"/>
                <w:szCs w:val="22"/>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宋体" w:hAnsi="宋体" w:eastAsia="宋体" w:cs="宋体"/>
                <w:color w:val="auto"/>
                <w:kern w:val="2"/>
                <w:sz w:val="22"/>
                <w:szCs w:val="22"/>
                <w:lang w:val="en-US" w:eastAsia="zh-CN" w:bidi="ar-SA"/>
              </w:rPr>
            </w:pPr>
          </w:p>
        </w:tc>
        <w:tc>
          <w:tcPr>
            <w:tcW w:w="1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宋体" w:hAnsi="宋体" w:cs="宋体"/>
                <w:color w:val="auto"/>
                <w:sz w:val="22"/>
                <w:szCs w:val="22"/>
                <w:lang w:val="zh-CN"/>
              </w:rPr>
            </w:pPr>
          </w:p>
        </w:tc>
        <w:tc>
          <w:tcPr>
            <w:tcW w:w="6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ascii="宋体" w:hAnsi="宋体" w:cs="宋体"/>
                <w:color w:val="auto"/>
                <w:kern w:val="0"/>
                <w:sz w:val="22"/>
                <w:szCs w:val="22"/>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bidi w:val="0"/>
              <w:snapToGrid/>
              <w:spacing w:line="240" w:lineRule="auto"/>
              <w:jc w:val="center"/>
              <w:textAlignment w:val="auto"/>
              <w:rPr>
                <w:rFonts w:hint="default" w:ascii="宋体" w:hAnsi="宋体" w:eastAsia="宋体" w:cs="宋体"/>
                <w:color w:val="auto"/>
                <w:sz w:val="22"/>
                <w:szCs w:val="22"/>
                <w:lang w:val="en-US" w:eastAsia="zh-CN"/>
              </w:rPr>
            </w:pPr>
          </w:p>
        </w:tc>
        <w:tc>
          <w:tcPr>
            <w:tcW w:w="176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ascii="宋体" w:hAnsi="宋体" w:cs="宋体"/>
                <w:color w:val="auto"/>
                <w:kern w:val="2"/>
                <w:sz w:val="22"/>
                <w:szCs w:val="22"/>
                <w:lang w:val="zh-CN" w:eastAsia="zh-CN" w:bidi="ar-SA"/>
              </w:rPr>
            </w:pPr>
          </w:p>
        </w:tc>
        <w:tc>
          <w:tcPr>
            <w:tcW w:w="64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textAlignment w:val="auto"/>
              <w:rPr>
                <w:rFonts w:hint="eastAsia" w:ascii="宋体" w:hAnsi="宋体" w:cs="宋体"/>
                <w:color w:val="auto"/>
                <w:kern w:val="2"/>
                <w:sz w:val="22"/>
                <w:szCs w:val="22"/>
                <w:lang w:val="zh-CN" w:eastAsia="zh-CN" w:bidi="ar-SA"/>
              </w:rPr>
            </w:pPr>
          </w:p>
        </w:tc>
      </w:tr>
    </w:tbl>
    <w:p>
      <w:pPr>
        <w:adjustRightInd w:val="0"/>
        <w:snapToGrid w:val="0"/>
        <w:spacing w:line="360" w:lineRule="auto"/>
        <w:ind w:firstLine="360" w:firstLineChars="150"/>
        <w:rPr>
          <w:rFonts w:hint="eastAsia"/>
          <w:b/>
          <w:bCs/>
          <w:color w:val="auto"/>
          <w:sz w:val="24"/>
          <w:szCs w:val="32"/>
        </w:rPr>
      </w:pPr>
      <w:r>
        <w:rPr>
          <w:rFonts w:hint="eastAsia" w:ascii="宋体" w:hAnsi="宋体" w:cs="宋体"/>
          <w:color w:val="auto"/>
          <w:sz w:val="24"/>
          <w:szCs w:val="24"/>
          <w:highlight w:val="none"/>
        </w:rPr>
        <w:t>注：以上内容如有变化将另行书面通知。如通知其中某一内容发生变化，其余未提及的将不作变动。</w:t>
      </w:r>
    </w:p>
    <w:p>
      <w:pPr>
        <w:spacing w:line="360" w:lineRule="auto"/>
        <w:rPr>
          <w:b/>
          <w:bCs/>
          <w:color w:val="auto"/>
          <w:sz w:val="24"/>
          <w:szCs w:val="32"/>
        </w:rPr>
      </w:pPr>
      <w:r>
        <w:rPr>
          <w:rFonts w:hint="eastAsia"/>
          <w:b/>
          <w:bCs/>
          <w:color w:val="auto"/>
          <w:sz w:val="24"/>
          <w:szCs w:val="32"/>
        </w:rPr>
        <w:t>一、总则</w:t>
      </w:r>
    </w:p>
    <w:p>
      <w:pPr>
        <w:spacing w:line="360" w:lineRule="auto"/>
        <w:ind w:firstLine="482" w:firstLineChars="200"/>
        <w:rPr>
          <w:b/>
          <w:bCs/>
          <w:color w:val="auto"/>
          <w:sz w:val="24"/>
          <w:szCs w:val="32"/>
        </w:rPr>
      </w:pPr>
      <w:r>
        <w:rPr>
          <w:rFonts w:hint="eastAsia"/>
          <w:b/>
          <w:bCs/>
          <w:color w:val="auto"/>
          <w:sz w:val="24"/>
          <w:szCs w:val="32"/>
        </w:rPr>
        <w:t>（一） 适用范围</w:t>
      </w:r>
    </w:p>
    <w:p>
      <w:pPr>
        <w:spacing w:line="360" w:lineRule="auto"/>
        <w:ind w:firstLine="480" w:firstLineChars="200"/>
        <w:rPr>
          <w:rFonts w:ascii="宋体" w:hAnsi="宋体" w:cs="宋体"/>
          <w:color w:val="auto"/>
          <w:sz w:val="24"/>
        </w:rPr>
      </w:pPr>
      <w:r>
        <w:rPr>
          <w:rFonts w:hint="eastAsia" w:ascii="宋体" w:hAnsi="宋体" w:cs="宋体"/>
          <w:color w:val="auto"/>
          <w:sz w:val="24"/>
        </w:rPr>
        <w:t>本招标文件适用于本次项目的招标、投标、评标、定标、验收、合同履约、付款等行为（法律、法规另有规定的，从其规定）。</w:t>
      </w:r>
    </w:p>
    <w:p>
      <w:pPr>
        <w:spacing w:line="360" w:lineRule="auto"/>
        <w:ind w:firstLine="482" w:firstLineChars="200"/>
        <w:rPr>
          <w:b/>
          <w:bCs/>
          <w:color w:val="auto"/>
          <w:sz w:val="24"/>
          <w:szCs w:val="32"/>
        </w:rPr>
      </w:pPr>
      <w:r>
        <w:rPr>
          <w:rFonts w:hint="eastAsia"/>
          <w:b/>
          <w:bCs/>
          <w:color w:val="auto"/>
          <w:sz w:val="24"/>
          <w:szCs w:val="32"/>
        </w:rPr>
        <w:t>（二）定义</w:t>
      </w:r>
    </w:p>
    <w:p>
      <w:pPr>
        <w:spacing w:line="360" w:lineRule="auto"/>
        <w:ind w:firstLine="480" w:firstLineChars="200"/>
        <w:rPr>
          <w:rFonts w:ascii="宋体" w:hAnsi="宋体" w:cs="宋体"/>
          <w:color w:val="auto"/>
          <w:sz w:val="24"/>
        </w:rPr>
      </w:pPr>
      <w:r>
        <w:rPr>
          <w:rFonts w:hint="eastAsia" w:ascii="宋体" w:hAnsi="宋体" w:cs="宋体"/>
          <w:color w:val="auto"/>
          <w:sz w:val="24"/>
        </w:rPr>
        <w:t>1、采购人：是指采购本次项目的国家机关、事业单位和团体组织。</w:t>
      </w:r>
    </w:p>
    <w:p>
      <w:pPr>
        <w:spacing w:line="360" w:lineRule="auto"/>
        <w:ind w:firstLine="480" w:firstLineChars="200"/>
        <w:rPr>
          <w:rFonts w:ascii="宋体" w:hAnsi="宋体" w:cs="宋体"/>
          <w:color w:val="auto"/>
          <w:sz w:val="24"/>
        </w:rPr>
      </w:pPr>
      <w:r>
        <w:rPr>
          <w:rFonts w:hint="eastAsia" w:ascii="宋体" w:hAnsi="宋体" w:cs="宋体"/>
          <w:color w:val="auto"/>
          <w:sz w:val="24"/>
        </w:rPr>
        <w:t>3、投标人：是指向</w:t>
      </w:r>
      <w:r>
        <w:rPr>
          <w:rFonts w:hint="eastAsia" w:ascii="宋体" w:hAnsi="宋体" w:cs="宋体"/>
          <w:color w:val="auto"/>
          <w:sz w:val="24"/>
          <w:lang w:eastAsia="zh-CN"/>
        </w:rPr>
        <w:t>采购人</w:t>
      </w:r>
      <w:r>
        <w:rPr>
          <w:rFonts w:hint="eastAsia" w:ascii="宋体" w:hAnsi="宋体" w:cs="宋体"/>
          <w:color w:val="auto"/>
          <w:sz w:val="24"/>
        </w:rPr>
        <w:t>提交投标文件的单位或个人。</w:t>
      </w:r>
    </w:p>
    <w:p>
      <w:pPr>
        <w:spacing w:line="360" w:lineRule="auto"/>
        <w:ind w:firstLine="480" w:firstLineChars="200"/>
        <w:rPr>
          <w:rFonts w:ascii="宋体" w:hAnsi="宋体" w:cs="宋体"/>
          <w:color w:val="auto"/>
          <w:sz w:val="24"/>
        </w:rPr>
      </w:pPr>
      <w:r>
        <w:rPr>
          <w:rFonts w:hint="eastAsia" w:ascii="宋体" w:hAnsi="宋体" w:cs="宋体"/>
          <w:color w:val="auto"/>
          <w:sz w:val="24"/>
        </w:rPr>
        <w:t>4、货物：是指各种形态和种类的物品，包括原材料、燃料、设备、产品等。</w:t>
      </w:r>
    </w:p>
    <w:p>
      <w:pPr>
        <w:spacing w:line="360" w:lineRule="auto"/>
        <w:ind w:firstLine="480" w:firstLineChars="200"/>
        <w:rPr>
          <w:rFonts w:ascii="宋体" w:hAnsi="宋体" w:cs="宋体"/>
          <w:color w:val="auto"/>
          <w:sz w:val="24"/>
        </w:rPr>
      </w:pPr>
      <w:r>
        <w:rPr>
          <w:rFonts w:hint="eastAsia" w:ascii="宋体" w:hAnsi="宋体" w:cs="宋体"/>
          <w:color w:val="auto"/>
          <w:sz w:val="24"/>
        </w:rPr>
        <w:t>5、服务：是指除货物和工程以外的政府采购对象，包括各类专业服务、信息网络开发服务、金融保险服务、运输服务，以及维修与维护服务等。</w:t>
      </w:r>
    </w:p>
    <w:p>
      <w:pPr>
        <w:spacing w:line="360" w:lineRule="auto"/>
        <w:ind w:firstLine="480" w:firstLineChars="200"/>
        <w:rPr>
          <w:rFonts w:ascii="宋体" w:hAnsi="宋体" w:cs="宋体"/>
          <w:color w:val="auto"/>
          <w:sz w:val="24"/>
        </w:rPr>
      </w:pPr>
      <w:r>
        <w:rPr>
          <w:rFonts w:hint="eastAsia" w:ascii="宋体" w:hAnsi="宋体" w:cs="宋体"/>
          <w:color w:val="auto"/>
          <w:sz w:val="24"/>
        </w:rPr>
        <w:t>6、“书面形式”包括信函、传真等。</w:t>
      </w:r>
    </w:p>
    <w:p>
      <w:pPr>
        <w:spacing w:line="360" w:lineRule="auto"/>
        <w:ind w:firstLine="482" w:firstLineChars="200"/>
        <w:rPr>
          <w:b/>
          <w:bCs/>
          <w:color w:val="auto"/>
          <w:sz w:val="24"/>
          <w:szCs w:val="32"/>
        </w:rPr>
      </w:pPr>
      <w:r>
        <w:rPr>
          <w:rFonts w:hint="eastAsia"/>
          <w:b/>
          <w:bCs/>
          <w:color w:val="auto"/>
          <w:sz w:val="24"/>
          <w:szCs w:val="32"/>
        </w:rPr>
        <w:t>（三）投标费用</w:t>
      </w:r>
    </w:p>
    <w:p>
      <w:pPr>
        <w:spacing w:line="360" w:lineRule="auto"/>
        <w:ind w:firstLine="480" w:firstLineChars="200"/>
        <w:rPr>
          <w:rFonts w:ascii="宋体" w:hAnsi="宋体" w:cs="宋体"/>
          <w:color w:val="auto"/>
          <w:sz w:val="24"/>
        </w:rPr>
      </w:pPr>
      <w:r>
        <w:rPr>
          <w:rFonts w:hint="eastAsia" w:ascii="宋体" w:hAnsi="宋体" w:cs="宋体"/>
          <w:color w:val="auto"/>
          <w:sz w:val="24"/>
        </w:rPr>
        <w:t>不论投标结果如何，投标人均应自行承担所有与投标有关的全部费用（招标文件有相关规定除外）。</w:t>
      </w:r>
    </w:p>
    <w:p>
      <w:pPr>
        <w:spacing w:line="360" w:lineRule="auto"/>
        <w:ind w:firstLine="482" w:firstLineChars="200"/>
        <w:rPr>
          <w:b/>
          <w:bCs/>
          <w:color w:val="auto"/>
          <w:sz w:val="24"/>
          <w:szCs w:val="32"/>
        </w:rPr>
      </w:pPr>
      <w:r>
        <w:rPr>
          <w:rFonts w:hint="eastAsia"/>
          <w:b/>
          <w:bCs/>
          <w:color w:val="auto"/>
          <w:sz w:val="24"/>
          <w:szCs w:val="32"/>
        </w:rPr>
        <w:t>（四）特别说明</w:t>
      </w:r>
    </w:p>
    <w:p>
      <w:pPr>
        <w:spacing w:line="360" w:lineRule="auto"/>
        <w:ind w:firstLine="480" w:firstLineChars="200"/>
        <w:rPr>
          <w:rFonts w:ascii="宋体" w:hAnsi="宋体" w:cs="宋体"/>
          <w:color w:val="auto"/>
          <w:sz w:val="24"/>
        </w:rPr>
      </w:pPr>
      <w:r>
        <w:rPr>
          <w:rFonts w:hint="eastAsia" w:ascii="宋体" w:hAnsi="宋体" w:cs="宋体"/>
          <w:color w:val="auto"/>
          <w:sz w:val="24"/>
        </w:rPr>
        <w:t>1、投标人投标所使用的资格、信誉、荣誉、业绩与企业认证必须为本法人所拥有。投标人投标所使用的采购项目实施人员必须为本法人员工（指本法人或控股公司正式员工）。</w:t>
      </w:r>
    </w:p>
    <w:p>
      <w:pPr>
        <w:spacing w:line="360" w:lineRule="auto"/>
        <w:ind w:firstLine="480" w:firstLineChars="200"/>
        <w:rPr>
          <w:rFonts w:ascii="宋体" w:hAnsi="宋体" w:cs="宋体"/>
          <w:color w:val="auto"/>
          <w:sz w:val="24"/>
        </w:rPr>
      </w:pPr>
      <w:r>
        <w:rPr>
          <w:rFonts w:hint="eastAsia" w:ascii="宋体" w:hAnsi="宋体" w:cs="宋体"/>
          <w:color w:val="auto"/>
          <w:sz w:val="24"/>
        </w:rPr>
        <w:t>2、投标供应商所投产品除招标文件中明确规定要求“提供官网截图或相应检测报告的证明材料”以外，所有技术参数描述均以投标文件为准。投标供应商对所投产品技术参数的真实性承担法律责任。项目招标结束后、质疑期限内，如有质疑供应商认为中标供应商所投产品、投标文件技术参数与招标需求存在重大偏离、错误、甚至造假的情况，应提供具体有效的证明材料。</w:t>
      </w:r>
      <w:r>
        <w:rPr>
          <w:rFonts w:hint="eastAsia" w:ascii="宋体" w:hAnsi="宋体" w:cs="宋体"/>
          <w:color w:val="auto"/>
          <w:sz w:val="24"/>
        </w:rPr>
        <w:tab/>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3、投标人在投标活动中提供任何虚假材料,其投标无效；中标后发现的,根据《中华人民共和国政府采购法》第七十七条第一款第一项之规定，处以采购金额千分之五以上千分之十以下的罚款；构成犯罪的，依法追究刑事责任。</w:t>
      </w:r>
    </w:p>
    <w:p>
      <w:pPr>
        <w:spacing w:line="360" w:lineRule="auto"/>
        <w:ind w:firstLine="480" w:firstLineChars="200"/>
        <w:rPr>
          <w:rFonts w:ascii="宋体" w:hAnsi="宋体" w:cs="宋体"/>
          <w:color w:val="auto"/>
          <w:sz w:val="24"/>
        </w:rPr>
      </w:pPr>
      <w:r>
        <w:rPr>
          <w:rFonts w:hint="eastAsia" w:ascii="宋体" w:hAnsi="宋体" w:cs="宋体"/>
          <w:color w:val="auto"/>
          <w:sz w:val="24"/>
        </w:rPr>
        <w:t>4、投标人不得相互串通投标报价，不得妨碍其他投标人的公平竞争，不得损害采购人或其他投标人的合法权益，投标人不得以向采购人、评标委员会成员行贿或者采取其他不正当手段谋取中标。</w:t>
      </w:r>
    </w:p>
    <w:p>
      <w:pPr>
        <w:spacing w:line="360" w:lineRule="auto"/>
        <w:ind w:firstLine="480" w:firstLineChars="200"/>
        <w:rPr>
          <w:rFonts w:ascii="宋体" w:hAnsi="宋体" w:cs="宋体"/>
          <w:color w:val="auto"/>
          <w:sz w:val="24"/>
        </w:rPr>
      </w:pPr>
      <w:r>
        <w:rPr>
          <w:rFonts w:hint="eastAsia" w:ascii="宋体" w:hAnsi="宋体" w:cs="宋体"/>
          <w:color w:val="auto"/>
          <w:sz w:val="24"/>
          <w:lang w:val="en-US" w:eastAsia="zh-CN"/>
        </w:rPr>
        <w:t>5</w:t>
      </w:r>
      <w:r>
        <w:rPr>
          <w:rFonts w:hint="eastAsia" w:ascii="宋体" w:hAnsi="宋体" w:cs="宋体"/>
          <w:color w:val="auto"/>
          <w:sz w:val="24"/>
        </w:rPr>
        <w:t>、投标文件格式中的表格式样可以根据项目差别做适当调整,但应当保持表格样式基本形态不变。</w:t>
      </w:r>
    </w:p>
    <w:p>
      <w:pPr>
        <w:spacing w:line="360" w:lineRule="auto"/>
        <w:ind w:firstLine="480" w:firstLineChars="200"/>
        <w:rPr>
          <w:rFonts w:ascii="宋体" w:hAnsi="宋体" w:cs="宋体"/>
          <w:color w:val="auto"/>
          <w:sz w:val="24"/>
        </w:rPr>
      </w:pPr>
      <w:r>
        <w:rPr>
          <w:rFonts w:hint="eastAsia" w:ascii="宋体" w:hAnsi="宋体" w:cs="宋体"/>
          <w:color w:val="auto"/>
          <w:sz w:val="24"/>
          <w:lang w:val="en-US" w:eastAsia="zh-CN"/>
        </w:rPr>
        <w:t>6</w:t>
      </w:r>
      <w:r>
        <w:rPr>
          <w:rFonts w:hint="eastAsia" w:ascii="宋体" w:hAnsi="宋体" w:cs="宋体"/>
          <w:color w:val="auto"/>
          <w:sz w:val="24"/>
        </w:rPr>
        <w:t>、单位负责人为同一人或者存在直接控股、管理关系的不同供应商，不得参加同一合同项下的政府采购活动。</w:t>
      </w:r>
    </w:p>
    <w:p>
      <w:pPr>
        <w:spacing w:line="360" w:lineRule="auto"/>
        <w:ind w:firstLine="480" w:firstLineChars="200"/>
      </w:pPr>
      <w:r>
        <w:rPr>
          <w:rFonts w:hint="eastAsia" w:ascii="宋体" w:hAnsi="宋体" w:cs="宋体"/>
          <w:color w:val="auto"/>
          <w:sz w:val="24"/>
          <w:lang w:val="en-US" w:eastAsia="zh-CN"/>
        </w:rPr>
        <w:t>7</w:t>
      </w:r>
      <w:r>
        <w:rPr>
          <w:rFonts w:hint="eastAsia" w:ascii="宋体" w:hAnsi="宋体" w:cs="宋体"/>
          <w:color w:val="auto"/>
          <w:sz w:val="24"/>
        </w:rPr>
        <w:t>、本项目不允许分包。</w:t>
      </w:r>
    </w:p>
    <w:p>
      <w:pPr>
        <w:spacing w:line="360" w:lineRule="auto"/>
        <w:rPr>
          <w:rFonts w:ascii="宋体" w:hAnsi="宋体" w:cs="宋体"/>
          <w:color w:val="auto"/>
          <w:sz w:val="24"/>
        </w:rPr>
      </w:pPr>
      <w:r>
        <w:rPr>
          <w:rFonts w:hint="eastAsia"/>
          <w:b/>
          <w:bCs/>
          <w:color w:val="auto"/>
          <w:sz w:val="24"/>
          <w:szCs w:val="32"/>
        </w:rPr>
        <w:t>二、招标文件</w:t>
      </w:r>
    </w:p>
    <w:p>
      <w:pPr>
        <w:spacing w:line="360" w:lineRule="auto"/>
        <w:ind w:firstLine="480" w:firstLineChars="200"/>
        <w:rPr>
          <w:rFonts w:ascii="宋体" w:hAnsi="宋体" w:cs="宋体"/>
          <w:color w:val="auto"/>
          <w:sz w:val="24"/>
        </w:rPr>
      </w:pPr>
      <w:r>
        <w:rPr>
          <w:rFonts w:hint="eastAsia" w:ascii="宋体" w:hAnsi="宋体" w:cs="宋体"/>
          <w:color w:val="auto"/>
          <w:sz w:val="24"/>
        </w:rPr>
        <w:t>（一）招标文件由招标文件总目录所列内容组成。</w:t>
      </w:r>
    </w:p>
    <w:p>
      <w:pPr>
        <w:spacing w:line="360" w:lineRule="auto"/>
        <w:ind w:firstLine="480" w:firstLineChars="200"/>
        <w:rPr>
          <w:rFonts w:ascii="宋体" w:hAnsi="宋体" w:cs="宋体"/>
          <w:color w:val="auto"/>
          <w:sz w:val="24"/>
        </w:rPr>
      </w:pPr>
      <w:r>
        <w:rPr>
          <w:rFonts w:hint="eastAsia" w:ascii="宋体" w:hAnsi="宋体" w:cs="宋体"/>
          <w:color w:val="auto"/>
          <w:sz w:val="24"/>
        </w:rPr>
        <w:t>（二）招标文件的澄清或修改</w:t>
      </w:r>
    </w:p>
    <w:p>
      <w:pPr>
        <w:spacing w:line="360" w:lineRule="auto"/>
        <w:ind w:firstLine="480" w:firstLineChars="200"/>
        <w:rPr>
          <w:rFonts w:ascii="宋体" w:hAnsi="宋体" w:cs="宋体"/>
          <w:color w:val="auto"/>
          <w:sz w:val="24"/>
        </w:rPr>
      </w:pPr>
      <w:r>
        <w:rPr>
          <w:rFonts w:hint="eastAsia" w:ascii="宋体" w:hAnsi="宋体" w:cs="宋体"/>
          <w:color w:val="auto"/>
          <w:sz w:val="24"/>
        </w:rPr>
        <w:t>1、</w:t>
      </w:r>
      <w:r>
        <w:rPr>
          <w:rFonts w:hint="eastAsia" w:ascii="宋体" w:hAnsi="宋体" w:cs="宋体"/>
          <w:color w:val="auto"/>
          <w:sz w:val="24"/>
          <w:lang w:eastAsia="zh-CN"/>
        </w:rPr>
        <w:t>采购人</w:t>
      </w:r>
      <w:r>
        <w:rPr>
          <w:rFonts w:hint="eastAsia" w:ascii="宋体" w:hAnsi="宋体" w:cs="宋体"/>
          <w:color w:val="auto"/>
          <w:sz w:val="24"/>
        </w:rPr>
        <w:t xml:space="preserve">可视采购具体情况对已发出的招标文件进行必要的澄清或者修改，澄清或者修改的内容为招标文件的组成部分。 </w:t>
      </w:r>
    </w:p>
    <w:p>
      <w:pPr>
        <w:spacing w:line="360" w:lineRule="auto"/>
        <w:ind w:firstLine="480" w:firstLineChars="200"/>
        <w:rPr>
          <w:rFonts w:ascii="宋体" w:hAnsi="宋体" w:cs="宋体"/>
          <w:color w:val="auto"/>
          <w:sz w:val="24"/>
        </w:rPr>
      </w:pPr>
      <w:r>
        <w:rPr>
          <w:rFonts w:hint="eastAsia" w:ascii="宋体" w:hAnsi="宋体" w:cs="宋体"/>
          <w:color w:val="auto"/>
          <w:sz w:val="24"/>
        </w:rPr>
        <w:t>2、投标人在规定的时间内未对招标文件提出疑问、质疑或要求澄清的，将视其为无异议。对招标文件中描述有歧义或前后不一致的地方，评标委员会有权进行评判，但对同一条款的评判应适用于每个投标人。</w:t>
      </w:r>
    </w:p>
    <w:p>
      <w:pPr>
        <w:spacing w:line="360" w:lineRule="auto"/>
        <w:rPr>
          <w:b/>
          <w:bCs/>
          <w:color w:val="auto"/>
          <w:sz w:val="24"/>
          <w:szCs w:val="32"/>
        </w:rPr>
      </w:pPr>
      <w:r>
        <w:rPr>
          <w:rFonts w:hint="eastAsia"/>
          <w:b/>
          <w:bCs/>
          <w:color w:val="auto"/>
          <w:sz w:val="24"/>
          <w:szCs w:val="32"/>
        </w:rPr>
        <w:t>三、投标文件</w:t>
      </w:r>
    </w:p>
    <w:p>
      <w:pPr>
        <w:spacing w:line="360" w:lineRule="auto"/>
        <w:ind w:firstLine="482" w:firstLineChars="200"/>
        <w:rPr>
          <w:rFonts w:ascii="宋体" w:hAnsi="宋体" w:cs="宋体"/>
          <w:color w:val="auto"/>
          <w:sz w:val="24"/>
        </w:rPr>
      </w:pPr>
      <w:r>
        <w:rPr>
          <w:rFonts w:hint="eastAsia"/>
          <w:b/>
          <w:bCs/>
          <w:color w:val="auto"/>
          <w:sz w:val="24"/>
          <w:szCs w:val="32"/>
          <w:lang w:val="zh-CN"/>
        </w:rPr>
        <w:t>（一）</w:t>
      </w:r>
      <w:r>
        <w:rPr>
          <w:rFonts w:hint="eastAsia"/>
          <w:b/>
          <w:bCs/>
          <w:color w:val="auto"/>
          <w:sz w:val="24"/>
          <w:szCs w:val="32"/>
        </w:rPr>
        <w:t>投标文件的组成</w:t>
      </w:r>
    </w:p>
    <w:p>
      <w:pPr>
        <w:spacing w:line="360" w:lineRule="auto"/>
        <w:ind w:firstLine="480" w:firstLineChars="200"/>
        <w:rPr>
          <w:rFonts w:ascii="宋体" w:hAnsi="宋体" w:cs="宋体"/>
          <w:color w:val="auto"/>
          <w:sz w:val="24"/>
          <w:lang w:val="zh-CN"/>
        </w:rPr>
      </w:pPr>
      <w:r>
        <w:rPr>
          <w:rFonts w:hint="eastAsia" w:ascii="宋体" w:hAnsi="宋体" w:cs="宋体"/>
          <w:color w:val="auto"/>
          <w:sz w:val="24"/>
        </w:rPr>
        <w:t>投标人接到招标文件后，按照</w:t>
      </w:r>
      <w:r>
        <w:rPr>
          <w:rFonts w:hint="eastAsia" w:ascii="宋体" w:hAnsi="宋体" w:cs="宋体"/>
          <w:color w:val="auto"/>
          <w:sz w:val="24"/>
          <w:lang w:eastAsia="zh-CN"/>
        </w:rPr>
        <w:t>采购人</w:t>
      </w:r>
      <w:r>
        <w:rPr>
          <w:rFonts w:hint="eastAsia" w:ascii="宋体" w:hAnsi="宋体" w:cs="宋体"/>
          <w:color w:val="auto"/>
          <w:sz w:val="24"/>
        </w:rPr>
        <w:t>的要求提供：资格及商务技术文件、报价文件。</w:t>
      </w:r>
      <w:r>
        <w:rPr>
          <w:rFonts w:hint="eastAsia" w:ascii="宋体" w:hAnsi="宋体" w:cs="宋体"/>
          <w:color w:val="auto"/>
          <w:sz w:val="24"/>
          <w:lang w:val="zh-CN"/>
        </w:rPr>
        <w:t>【特别提示：如有要求提供资料原件的，原件另行包装，并与投标文件一起提交，投标截止时间后所有原件不予接收。资料原件也可以用与原件相符的公证原件替代】</w:t>
      </w:r>
    </w:p>
    <w:p>
      <w:pPr>
        <w:spacing w:line="360" w:lineRule="auto"/>
        <w:ind w:firstLine="482" w:firstLineChars="200"/>
        <w:rPr>
          <w:rFonts w:ascii="宋体" w:hAnsi="宋体" w:cs="宋体"/>
          <w:b/>
          <w:bCs/>
          <w:color w:val="auto"/>
          <w:sz w:val="24"/>
          <w:szCs w:val="32"/>
          <w:highlight w:val="none"/>
        </w:rPr>
      </w:pPr>
      <w:r>
        <w:rPr>
          <w:rFonts w:hint="eastAsia" w:ascii="宋体" w:hAnsi="宋体" w:cs="宋体"/>
          <w:b/>
          <w:bCs/>
          <w:color w:val="auto"/>
          <w:sz w:val="24"/>
          <w:szCs w:val="32"/>
          <w:highlight w:val="none"/>
        </w:rPr>
        <w:t>1、资格及商务技术文件的组成</w:t>
      </w:r>
    </w:p>
    <w:p>
      <w:pPr>
        <w:spacing w:line="360" w:lineRule="auto"/>
        <w:ind w:firstLine="480" w:firstLineChars="200"/>
        <w:rPr>
          <w:rFonts w:ascii="宋体" w:hAnsi="宋体" w:cs="宋体"/>
          <w:color w:val="auto"/>
          <w:sz w:val="24"/>
          <w:highlight w:val="none"/>
          <w:lang w:val="zh-CN"/>
        </w:rPr>
      </w:pPr>
      <w:r>
        <w:rPr>
          <w:rFonts w:hint="eastAsia" w:ascii="宋体" w:hAnsi="宋体" w:cs="宋体"/>
          <w:color w:val="auto"/>
          <w:sz w:val="24"/>
          <w:highlight w:val="none"/>
        </w:rPr>
        <w:t>资格及商务技术文件由资格证明文件、商务与技术文件两部分内容组成。</w:t>
      </w:r>
    </w:p>
    <w:p>
      <w:pPr>
        <w:spacing w:line="360" w:lineRule="auto"/>
        <w:ind w:firstLine="482" w:firstLineChars="200"/>
        <w:rPr>
          <w:rFonts w:ascii="宋体" w:hAnsi="宋体" w:cs="宋体"/>
          <w:b/>
          <w:bCs/>
          <w:color w:val="auto"/>
          <w:sz w:val="24"/>
          <w:szCs w:val="32"/>
          <w:highlight w:val="none"/>
        </w:rPr>
      </w:pPr>
      <w:r>
        <w:rPr>
          <w:rFonts w:hint="eastAsia" w:ascii="宋体" w:hAnsi="宋体" w:cs="宋体"/>
          <w:b/>
          <w:bCs/>
          <w:color w:val="auto"/>
          <w:sz w:val="24"/>
          <w:szCs w:val="32"/>
          <w:highlight w:val="none"/>
        </w:rPr>
        <w:t>第一部分 资格证明文件的组成：</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（1）投标声明书；</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（2）授权委托书（法定代表人亲自办理投标事宜的，则无需提交本证明书)；</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（3）法人或者其他组织的营业执照等证明文件，自然人的身份证明；</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（4）财务状况报告，依法缴纳税收和社会保障资金的相关材料；</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（5）具备履行合同所必需的设备和专业技术能力的证明材料；</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（6）提供采购公告中符合供应商特定条件的有效资质证书复印件（投标供应商特定条件中有要求的必须提供），以及需要说明的其他资料；</w:t>
      </w:r>
    </w:p>
    <w:p>
      <w:pPr>
        <w:spacing w:line="360" w:lineRule="auto"/>
        <w:ind w:firstLine="482" w:firstLineChars="200"/>
        <w:rPr>
          <w:rFonts w:ascii="宋体" w:hAnsi="宋体" w:cs="宋体"/>
          <w:b/>
          <w:bCs/>
          <w:color w:val="auto"/>
          <w:sz w:val="24"/>
          <w:szCs w:val="32"/>
          <w:highlight w:val="none"/>
        </w:rPr>
      </w:pPr>
      <w:r>
        <w:rPr>
          <w:rFonts w:hint="eastAsia" w:ascii="宋体" w:hAnsi="宋体" w:cs="宋体"/>
          <w:b/>
          <w:bCs/>
          <w:color w:val="auto"/>
          <w:sz w:val="24"/>
          <w:szCs w:val="32"/>
          <w:highlight w:val="none"/>
        </w:rPr>
        <w:t>第二部分 商务与技术文件的组成：</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（1）供应商情况介绍（企业总体情况、人员与技术力量、企业规模、服务能力、经营业绩等）。</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（2）投标方案描述：</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A.项目需求的理解与分析(投标人对项目现状及需求的理解情况，对项目现状和需求描述的全面性、准确性、针对性，对项目重点、难点的把握，解决方案及合理化建议)。</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cs="宋体"/>
          <w:color w:val="auto"/>
          <w:sz w:val="24"/>
          <w:highlight w:val="none"/>
        </w:rPr>
        <w:t>B.项目组织实施方案（包括项目工期、确保项目供货的措施或方案、项目实施进度安排</w:t>
      </w:r>
      <w:r>
        <w:rPr>
          <w:rFonts w:hint="eastAsia" w:ascii="宋体" w:hAnsi="宋体" w:cs="宋体"/>
          <w:color w:val="auto"/>
          <w:sz w:val="24"/>
          <w:highlight w:val="none"/>
          <w:lang w:eastAsia="zh-CN"/>
        </w:rPr>
        <w:t>、</w:t>
      </w:r>
      <w:r>
        <w:rPr>
          <w:rFonts w:hint="eastAsia" w:ascii="宋体" w:hAnsi="宋体" w:cs="宋体"/>
          <w:color w:val="auto"/>
          <w:sz w:val="24"/>
          <w:highlight w:val="none"/>
        </w:rPr>
        <w:t>确保</w:t>
      </w:r>
      <w:r>
        <w:rPr>
          <w:rFonts w:hint="eastAsia" w:ascii="宋体" w:hAnsi="宋体" w:eastAsia="宋体" w:cs="宋体"/>
          <w:color w:val="auto"/>
          <w:sz w:val="24"/>
          <w:highlight w:val="none"/>
        </w:rPr>
        <w:t>项目服务质量的措施或方案、项目实施人员及项目负责人的资质、类似经验及社保证明等）。</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（可根据投标人对招标任务的理解和自身情况编制，利用投标文件中承诺提供的设备、人员等资源围绕采购人的服务质量要求、工作的实际要求如何实现这些要求，如何保质保量按时完成任务。）</w:t>
      </w:r>
    </w:p>
    <w:p>
      <w:pPr>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C.安装、调试及验收方案（包括项目验收标准和验收方法等）和措施。</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（3）投标响应描述及相关资料：</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商务及技术响应表。</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cs="宋体"/>
          <w:color w:val="auto"/>
          <w:sz w:val="24"/>
          <w:highlight w:val="none"/>
        </w:rPr>
        <w:t>（</w:t>
      </w:r>
      <w:r>
        <w:rPr>
          <w:rFonts w:hint="eastAsia" w:ascii="宋体" w:hAnsi="宋体" w:cs="宋体"/>
          <w:color w:val="auto"/>
          <w:sz w:val="24"/>
          <w:highlight w:val="none"/>
          <w:lang w:val="en-US" w:eastAsia="zh-CN"/>
        </w:rPr>
        <w:t>4</w:t>
      </w:r>
      <w:r>
        <w:rPr>
          <w:rFonts w:hint="eastAsia" w:ascii="宋体" w:hAnsi="宋体" w:cs="宋体"/>
          <w:color w:val="auto"/>
          <w:sz w:val="24"/>
          <w:highlight w:val="none"/>
        </w:rPr>
        <w:t>）</w:t>
      </w:r>
      <w:r>
        <w:rPr>
          <w:rFonts w:hint="eastAsia" w:ascii="宋体" w:hAnsi="宋体" w:eastAsia="宋体" w:cs="宋体"/>
          <w:color w:val="auto"/>
          <w:sz w:val="24"/>
          <w:highlight w:val="none"/>
          <w:lang w:eastAsia="zh-CN"/>
        </w:rPr>
        <w:t>供应商认为需要提供的其他资料（包括可能影响供应商商务与技术内容评分的各类证明材料）。</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5</w:t>
      </w:r>
      <w:r>
        <w:rPr>
          <w:rFonts w:hint="eastAsia" w:ascii="宋体" w:hAnsi="宋体" w:eastAsia="宋体" w:cs="宋体"/>
          <w:color w:val="auto"/>
          <w:sz w:val="24"/>
          <w:highlight w:val="none"/>
          <w:lang w:eastAsia="zh-CN"/>
        </w:rPr>
        <w:t>）售后服务描述及承诺：</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A.距采购人最近的服务网点详细介绍（包括地理位置、资质资格、技术力量、服务内容及联系电话等）。</w:t>
      </w:r>
    </w:p>
    <w:p>
      <w:pPr>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B.针对本项目的售后服务措施及承诺（售后技术服务方案、人员配备、故障响应时间、技术培训方案等）。</w:t>
      </w:r>
    </w:p>
    <w:p>
      <w:pPr>
        <w:spacing w:line="360" w:lineRule="auto"/>
        <w:ind w:firstLine="482" w:firstLineChars="200"/>
        <w:rPr>
          <w:rFonts w:ascii="宋体" w:hAnsi="宋体" w:cs="宋体"/>
          <w:b/>
          <w:bCs/>
          <w:color w:val="auto"/>
          <w:sz w:val="24"/>
          <w:szCs w:val="32"/>
          <w:highlight w:val="none"/>
        </w:rPr>
      </w:pPr>
      <w:r>
        <w:rPr>
          <w:rFonts w:hint="eastAsia" w:ascii="宋体" w:hAnsi="宋体" w:cs="宋体"/>
          <w:b/>
          <w:bCs/>
          <w:color w:val="auto"/>
          <w:sz w:val="24"/>
          <w:szCs w:val="32"/>
          <w:highlight w:val="none"/>
        </w:rPr>
        <w:t>2、报价文件的组成</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（1）报价文件由开标一览表</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报价明细表</w:t>
      </w:r>
      <w:r>
        <w:rPr>
          <w:rFonts w:hint="eastAsia" w:ascii="宋体" w:hAnsi="宋体" w:cs="宋体"/>
          <w:color w:val="auto"/>
          <w:sz w:val="24"/>
          <w:highlight w:val="none"/>
        </w:rPr>
        <w:t>以及投标人认为其他需要说明的内容组成。</w:t>
      </w:r>
    </w:p>
    <w:p>
      <w:pPr>
        <w:spacing w:line="360" w:lineRule="auto"/>
        <w:ind w:firstLine="480" w:firstLineChars="200"/>
        <w:rPr>
          <w:rFonts w:hint="eastAsia" w:ascii="宋体" w:hAnsi="宋体" w:cs="宋体"/>
          <w:color w:val="auto"/>
          <w:sz w:val="24"/>
          <w:highlight w:val="none"/>
          <w:lang w:val="en-US" w:eastAsia="zh-CN"/>
        </w:rPr>
      </w:pPr>
      <w:r>
        <w:rPr>
          <w:rFonts w:hint="eastAsia" w:ascii="宋体" w:hAnsi="宋体" w:cs="宋体"/>
          <w:color w:val="auto"/>
          <w:sz w:val="24"/>
          <w:highlight w:val="none"/>
        </w:rPr>
        <w:t>（2）此报价为投标人报出</w:t>
      </w:r>
      <w:r>
        <w:rPr>
          <w:rFonts w:hint="eastAsia" w:ascii="宋体" w:hAnsi="宋体" w:cs="宋体"/>
          <w:color w:val="auto"/>
          <w:sz w:val="24"/>
          <w:highlight w:val="none"/>
          <w:lang w:eastAsia="zh-CN"/>
        </w:rPr>
        <w:t>的</w:t>
      </w:r>
      <w:r>
        <w:rPr>
          <w:rFonts w:hint="eastAsia" w:ascii="宋体" w:hAnsi="宋体" w:cs="宋体"/>
          <w:color w:val="auto"/>
          <w:sz w:val="24"/>
          <w:highlight w:val="none"/>
        </w:rPr>
        <w:t>包含其它一切所要涉及到的费用</w:t>
      </w:r>
      <w:r>
        <w:rPr>
          <w:rFonts w:hint="eastAsia" w:ascii="宋体" w:hAnsi="宋体" w:cs="宋体"/>
          <w:color w:val="auto"/>
          <w:sz w:val="24"/>
          <w:highlight w:val="none"/>
          <w:lang w:val="en-US" w:eastAsia="zh-CN"/>
        </w:rPr>
        <w:t>.</w:t>
      </w:r>
    </w:p>
    <w:p>
      <w:pPr>
        <w:spacing w:line="360" w:lineRule="auto"/>
        <w:ind w:firstLine="480" w:firstLineChars="200"/>
        <w:rPr>
          <w:rFonts w:hint="eastAsia" w:ascii="宋体" w:hAnsi="宋体" w:cs="宋体"/>
          <w:b/>
          <w:color w:val="auto"/>
          <w:sz w:val="24"/>
        </w:rPr>
      </w:pPr>
      <w:r>
        <w:rPr>
          <w:rFonts w:hint="eastAsia" w:ascii="宋体" w:hAnsi="宋体" w:cs="宋体"/>
          <w:color w:val="auto"/>
          <w:sz w:val="24"/>
          <w:lang w:val="zh-CN"/>
        </w:rPr>
        <w:t>（</w:t>
      </w:r>
      <w:r>
        <w:rPr>
          <w:rFonts w:hint="eastAsia" w:ascii="宋体" w:hAnsi="宋体" w:cs="宋体"/>
          <w:color w:val="auto"/>
          <w:sz w:val="24"/>
        </w:rPr>
        <w:t>3</w:t>
      </w:r>
      <w:r>
        <w:rPr>
          <w:rFonts w:hint="eastAsia" w:ascii="宋体" w:hAnsi="宋体" w:cs="宋体"/>
          <w:color w:val="auto"/>
          <w:sz w:val="24"/>
          <w:lang w:val="zh-CN"/>
        </w:rPr>
        <w:t>）总报价应当包括合同包含的所有风险责任等各项费用及不可预见费等所需的全部费用。</w:t>
      </w:r>
    </w:p>
    <w:p>
      <w:pPr>
        <w:spacing w:line="360" w:lineRule="auto"/>
        <w:ind w:firstLine="480" w:firstLineChars="200"/>
        <w:rPr>
          <w:rFonts w:ascii="宋体" w:hAnsi="宋体" w:cs="宋体"/>
          <w:color w:val="auto"/>
          <w:sz w:val="24"/>
        </w:rPr>
      </w:pPr>
      <w:r>
        <w:rPr>
          <w:rFonts w:hint="eastAsia" w:ascii="宋体" w:hAnsi="宋体" w:cs="宋体"/>
          <w:color w:val="auto"/>
          <w:sz w:val="24"/>
          <w:lang w:val="zh-CN"/>
        </w:rPr>
        <w:t>（</w:t>
      </w:r>
      <w:r>
        <w:rPr>
          <w:rFonts w:hint="eastAsia" w:ascii="宋体" w:hAnsi="宋体" w:cs="宋体"/>
          <w:color w:val="auto"/>
          <w:sz w:val="24"/>
        </w:rPr>
        <w:t>4</w:t>
      </w:r>
      <w:r>
        <w:rPr>
          <w:rFonts w:hint="eastAsia" w:ascii="宋体" w:hAnsi="宋体" w:cs="宋体"/>
          <w:color w:val="auto"/>
          <w:sz w:val="24"/>
          <w:lang w:val="zh-CN"/>
        </w:rPr>
        <w:t>）</w:t>
      </w:r>
      <w:r>
        <w:rPr>
          <w:rFonts w:hint="eastAsia" w:ascii="宋体" w:hAnsi="宋体" w:cs="宋体"/>
          <w:color w:val="auto"/>
          <w:sz w:val="24"/>
        </w:rPr>
        <w:t>相关报价单需打印或用不</w:t>
      </w:r>
      <w:r>
        <w:rPr>
          <w:rFonts w:hint="eastAsia" w:ascii="宋体" w:hAnsi="宋体" w:cs="宋体"/>
          <w:color w:val="auto"/>
          <w:sz w:val="24"/>
          <w:lang w:eastAsia="zh-CN"/>
        </w:rPr>
        <w:t>褪</w:t>
      </w:r>
      <w:r>
        <w:rPr>
          <w:rFonts w:hint="eastAsia" w:ascii="宋体" w:hAnsi="宋体" w:cs="宋体"/>
          <w:color w:val="auto"/>
          <w:sz w:val="24"/>
        </w:rPr>
        <w:t>色的墨水填写，投标报价单不得涂改和增删，如有错漏必须修改，修改处须由同一签署人签字或盖章。由于字迹模糊或表达不清引起的后果由投标人负责。</w:t>
      </w:r>
    </w:p>
    <w:p>
      <w:pPr>
        <w:spacing w:line="360" w:lineRule="auto"/>
        <w:ind w:firstLine="480" w:firstLineChars="200"/>
        <w:rPr>
          <w:rFonts w:ascii="宋体" w:hAnsi="宋体" w:cs="宋体"/>
          <w:color w:val="auto"/>
          <w:sz w:val="24"/>
        </w:rPr>
      </w:pPr>
      <w:r>
        <w:rPr>
          <w:rFonts w:hint="eastAsia" w:ascii="宋体" w:hAnsi="宋体" w:cs="宋体"/>
          <w:color w:val="auto"/>
          <w:sz w:val="24"/>
        </w:rPr>
        <w:t>（5）投标报价应按招标文件中相关附表格式填写。</w:t>
      </w:r>
    </w:p>
    <w:p>
      <w:pPr>
        <w:spacing w:line="360" w:lineRule="auto"/>
        <w:ind w:firstLine="482" w:firstLineChars="200"/>
        <w:rPr>
          <w:rFonts w:hint="eastAsia"/>
          <w:b/>
          <w:bCs/>
          <w:color w:val="auto"/>
          <w:sz w:val="24"/>
          <w:szCs w:val="32"/>
        </w:rPr>
      </w:pPr>
      <w:r>
        <w:rPr>
          <w:rFonts w:hint="eastAsia"/>
          <w:b/>
          <w:bCs/>
          <w:color w:val="auto"/>
          <w:sz w:val="24"/>
          <w:szCs w:val="32"/>
        </w:rPr>
        <w:t>（二）投标文件的制作、封装及递交要求</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1、投标文件的制作要求</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（1）投标人应按照投标文件组成内容及项目招标需求制作投标文件，不按招标文件要求制作投标文件的将视情处理（拒收、扣分等），由此产生的责任由投标人自行承担。</w:t>
      </w:r>
    </w:p>
    <w:p>
      <w:pPr>
        <w:spacing w:line="360" w:lineRule="auto"/>
        <w:ind w:firstLine="480" w:firstLineChars="200"/>
        <w:rPr>
          <w:rFonts w:hint="eastAsia" w:ascii="宋体" w:hAnsi="宋体" w:cs="宋体"/>
          <w:color w:val="auto"/>
          <w:sz w:val="24"/>
          <w:szCs w:val="32"/>
          <w:lang w:val="zh-CN"/>
        </w:rPr>
      </w:pPr>
      <w:r>
        <w:rPr>
          <w:rFonts w:hint="eastAsia" w:ascii="宋体" w:hAnsi="宋体" w:cs="宋体"/>
          <w:color w:val="auto"/>
          <w:sz w:val="24"/>
          <w:szCs w:val="32"/>
          <w:lang w:val="en-GB"/>
        </w:rPr>
        <w:t>（2）投标人应对所提供的全部资料的真实性承担法律责任，</w:t>
      </w:r>
      <w:r>
        <w:rPr>
          <w:rFonts w:hint="eastAsia" w:ascii="宋体" w:hAnsi="宋体" w:cs="宋体"/>
          <w:color w:val="auto"/>
          <w:sz w:val="24"/>
          <w:szCs w:val="32"/>
          <w:lang w:val="zh-CN"/>
        </w:rPr>
        <w:t>投标文件内容中有要求盖章或签字的地方，必须加盖投标人的公章以及法定代表人或全权代表盖章或签字。</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zh-CN"/>
        </w:rPr>
        <w:t>（</w:t>
      </w:r>
      <w:r>
        <w:rPr>
          <w:rFonts w:hint="eastAsia" w:ascii="宋体" w:hAnsi="宋体" w:cs="宋体"/>
          <w:color w:val="auto"/>
          <w:sz w:val="24"/>
          <w:szCs w:val="32"/>
          <w:lang w:val="en-GB"/>
        </w:rPr>
        <w:t>3</w:t>
      </w:r>
      <w:r>
        <w:rPr>
          <w:rFonts w:hint="eastAsia" w:ascii="宋体" w:hAnsi="宋体" w:cs="宋体"/>
          <w:color w:val="auto"/>
          <w:sz w:val="24"/>
          <w:szCs w:val="32"/>
          <w:lang w:val="zh-CN"/>
        </w:rPr>
        <w:t>）</w:t>
      </w:r>
      <w:r>
        <w:rPr>
          <w:rFonts w:hint="eastAsia" w:ascii="宋体" w:hAnsi="宋体" w:cs="宋体"/>
          <w:color w:val="auto"/>
          <w:sz w:val="24"/>
          <w:szCs w:val="32"/>
          <w:lang w:val="en-GB"/>
        </w:rPr>
        <w:t>投标文件以及投标人与</w:t>
      </w:r>
      <w:r>
        <w:rPr>
          <w:rFonts w:hint="eastAsia" w:ascii="宋体" w:hAnsi="宋体" w:cs="宋体"/>
          <w:color w:val="auto"/>
          <w:sz w:val="24"/>
          <w:szCs w:val="32"/>
          <w:lang w:val="en-GB" w:eastAsia="zh-CN"/>
        </w:rPr>
        <w:t>采购人</w:t>
      </w:r>
      <w:r>
        <w:rPr>
          <w:rFonts w:hint="eastAsia" w:ascii="宋体" w:hAnsi="宋体" w:cs="宋体"/>
          <w:color w:val="auto"/>
          <w:sz w:val="24"/>
          <w:szCs w:val="32"/>
          <w:lang w:val="en-GB"/>
        </w:rPr>
        <w:t>就有关投标事宜的所有来往函电，均应以中文汉语书写。除签字、盖章、专用名称等特殊情形外，以中文汉语以外的文字表述的投标文件视同未提供。</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（4）投标计量单位，招标文件已有明确规定的，使用招标文件规定的计量单位；招标文件没有规定的，应采用中华人民共和国法定计量单位（货币单位：人民币元）。</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（5）若投标人不按招标文件的要求提供资格审查材料，其风险由投标人自行承担。</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（6）与本次投标无关的内容请不要制作在内，确保投标文件有针对性、简洁明了，同时节约纸张；投标文件建议以A4纸大小双面打印并装订。</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2、投标文件的封装要求</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（1）投标文件份数：</w:t>
      </w:r>
      <w:r>
        <w:rPr>
          <w:rFonts w:hint="eastAsia" w:ascii="宋体" w:hAnsi="宋体" w:cs="宋体"/>
          <w:color w:val="auto"/>
          <w:sz w:val="24"/>
          <w:szCs w:val="32"/>
          <w:lang w:val="zh-CN"/>
        </w:rPr>
        <w:t>资格及商务技术文件、报价文件必须分别编制并分开单独装订成册：资格及商务技术文件共</w:t>
      </w:r>
      <w:r>
        <w:rPr>
          <w:rFonts w:hint="eastAsia" w:ascii="宋体" w:hAnsi="宋体" w:cs="宋体"/>
          <w:color w:val="auto"/>
          <w:sz w:val="24"/>
          <w:szCs w:val="32"/>
          <w:u w:val="single"/>
        </w:rPr>
        <w:t xml:space="preserve"> </w:t>
      </w:r>
      <w:r>
        <w:rPr>
          <w:rFonts w:hint="eastAsia" w:ascii="宋体" w:hAnsi="宋体" w:cs="宋体"/>
          <w:color w:val="auto"/>
          <w:sz w:val="24"/>
          <w:szCs w:val="32"/>
          <w:u w:val="single"/>
          <w:lang w:val="en-GB"/>
        </w:rPr>
        <w:t>五</w:t>
      </w:r>
      <w:r>
        <w:rPr>
          <w:rFonts w:hint="eastAsia" w:ascii="宋体" w:hAnsi="宋体" w:cs="宋体"/>
          <w:color w:val="auto"/>
          <w:sz w:val="24"/>
          <w:szCs w:val="32"/>
          <w:u w:val="single"/>
        </w:rPr>
        <w:t xml:space="preserve"> </w:t>
      </w:r>
      <w:r>
        <w:rPr>
          <w:rFonts w:hint="eastAsia" w:ascii="宋体" w:hAnsi="宋体" w:cs="宋体"/>
          <w:color w:val="auto"/>
          <w:sz w:val="24"/>
          <w:szCs w:val="32"/>
          <w:lang w:val="zh-CN"/>
        </w:rPr>
        <w:t>份（</w:t>
      </w:r>
      <w:r>
        <w:rPr>
          <w:rFonts w:hint="eastAsia" w:ascii="宋体" w:hAnsi="宋体" w:cs="宋体"/>
          <w:color w:val="auto"/>
          <w:sz w:val="24"/>
          <w:szCs w:val="32"/>
          <w:u w:val="single"/>
        </w:rPr>
        <w:t xml:space="preserve"> </w:t>
      </w:r>
      <w:r>
        <w:rPr>
          <w:rFonts w:hint="eastAsia" w:ascii="宋体" w:hAnsi="宋体" w:cs="宋体"/>
          <w:color w:val="auto"/>
          <w:sz w:val="24"/>
          <w:szCs w:val="32"/>
          <w:u w:val="single"/>
          <w:lang w:val="zh-CN"/>
        </w:rPr>
        <w:t>一</w:t>
      </w:r>
      <w:r>
        <w:rPr>
          <w:rFonts w:hint="eastAsia" w:ascii="宋体" w:hAnsi="宋体" w:cs="宋体"/>
          <w:color w:val="auto"/>
          <w:sz w:val="24"/>
          <w:szCs w:val="32"/>
          <w:u w:val="single"/>
        </w:rPr>
        <w:t xml:space="preserve"> </w:t>
      </w:r>
      <w:r>
        <w:rPr>
          <w:rFonts w:hint="eastAsia" w:ascii="宋体" w:hAnsi="宋体" w:cs="宋体"/>
          <w:color w:val="auto"/>
          <w:sz w:val="24"/>
          <w:szCs w:val="32"/>
          <w:lang w:val="zh-CN"/>
        </w:rPr>
        <w:t>正本</w:t>
      </w:r>
      <w:r>
        <w:rPr>
          <w:rFonts w:hint="eastAsia" w:ascii="宋体" w:hAnsi="宋体" w:cs="宋体"/>
          <w:color w:val="auto"/>
          <w:sz w:val="24"/>
          <w:szCs w:val="32"/>
          <w:u w:val="single"/>
          <w:lang w:val="en-GB"/>
        </w:rPr>
        <w:t xml:space="preserve"> 四 </w:t>
      </w:r>
      <w:r>
        <w:rPr>
          <w:rFonts w:hint="eastAsia" w:ascii="宋体" w:hAnsi="宋体" w:cs="宋体"/>
          <w:color w:val="auto"/>
          <w:sz w:val="24"/>
          <w:szCs w:val="32"/>
          <w:lang w:val="zh-CN"/>
        </w:rPr>
        <w:t>副本，封装成一袋），报价文件共</w:t>
      </w:r>
      <w:r>
        <w:rPr>
          <w:rFonts w:hint="eastAsia" w:ascii="宋体" w:hAnsi="宋体" w:cs="宋体"/>
          <w:color w:val="auto"/>
          <w:sz w:val="24"/>
          <w:szCs w:val="32"/>
          <w:u w:val="single"/>
        </w:rPr>
        <w:t xml:space="preserve"> </w:t>
      </w:r>
      <w:r>
        <w:rPr>
          <w:rFonts w:hint="eastAsia" w:ascii="宋体" w:hAnsi="宋体" w:cs="宋体"/>
          <w:color w:val="auto"/>
          <w:sz w:val="24"/>
          <w:szCs w:val="32"/>
          <w:u w:val="single"/>
          <w:lang w:val="en-GB"/>
        </w:rPr>
        <w:t>五</w:t>
      </w:r>
      <w:r>
        <w:rPr>
          <w:rFonts w:hint="eastAsia" w:ascii="宋体" w:hAnsi="宋体" w:cs="宋体"/>
          <w:color w:val="auto"/>
          <w:sz w:val="24"/>
          <w:szCs w:val="32"/>
          <w:u w:val="single"/>
        </w:rPr>
        <w:t xml:space="preserve"> </w:t>
      </w:r>
      <w:r>
        <w:rPr>
          <w:rFonts w:hint="eastAsia" w:ascii="宋体" w:hAnsi="宋体" w:cs="宋体"/>
          <w:color w:val="auto"/>
          <w:sz w:val="24"/>
          <w:szCs w:val="32"/>
          <w:lang w:val="zh-CN"/>
        </w:rPr>
        <w:t>份（</w:t>
      </w:r>
      <w:r>
        <w:rPr>
          <w:rFonts w:hint="eastAsia" w:ascii="宋体" w:hAnsi="宋体" w:cs="宋体"/>
          <w:color w:val="auto"/>
          <w:sz w:val="24"/>
          <w:szCs w:val="32"/>
          <w:u w:val="single"/>
        </w:rPr>
        <w:t xml:space="preserve"> </w:t>
      </w:r>
      <w:r>
        <w:rPr>
          <w:rFonts w:hint="eastAsia" w:ascii="宋体" w:hAnsi="宋体" w:cs="宋体"/>
          <w:color w:val="auto"/>
          <w:sz w:val="24"/>
          <w:szCs w:val="32"/>
          <w:u w:val="single"/>
          <w:lang w:val="zh-CN"/>
        </w:rPr>
        <w:t>一</w:t>
      </w:r>
      <w:r>
        <w:rPr>
          <w:rFonts w:hint="eastAsia" w:ascii="宋体" w:hAnsi="宋体" w:cs="宋体"/>
          <w:color w:val="auto"/>
          <w:sz w:val="24"/>
          <w:szCs w:val="32"/>
          <w:u w:val="single"/>
        </w:rPr>
        <w:t xml:space="preserve"> </w:t>
      </w:r>
      <w:r>
        <w:rPr>
          <w:rFonts w:hint="eastAsia" w:ascii="宋体" w:hAnsi="宋体" w:cs="宋体"/>
          <w:color w:val="auto"/>
          <w:sz w:val="24"/>
          <w:szCs w:val="32"/>
          <w:lang w:val="zh-CN"/>
        </w:rPr>
        <w:t>正本</w:t>
      </w:r>
      <w:r>
        <w:rPr>
          <w:rFonts w:hint="eastAsia" w:ascii="宋体" w:hAnsi="宋体" w:cs="宋体"/>
          <w:color w:val="auto"/>
          <w:sz w:val="24"/>
          <w:szCs w:val="32"/>
          <w:u w:val="single"/>
          <w:lang w:val="en-GB"/>
        </w:rPr>
        <w:t xml:space="preserve"> 四 </w:t>
      </w:r>
      <w:r>
        <w:rPr>
          <w:rFonts w:hint="eastAsia" w:ascii="宋体" w:hAnsi="宋体" w:cs="宋体"/>
          <w:color w:val="auto"/>
          <w:sz w:val="24"/>
          <w:szCs w:val="32"/>
          <w:lang w:val="zh-CN"/>
        </w:rPr>
        <w:t>副本，封装成一袋）。投标文件的正本封面必须注明“正本”字样，副本可以采用正本的复印件。</w:t>
      </w:r>
      <w:r>
        <w:rPr>
          <w:rFonts w:hint="eastAsia" w:ascii="宋体" w:hAnsi="宋体" w:cs="宋体"/>
          <w:color w:val="auto"/>
          <w:sz w:val="24"/>
          <w:szCs w:val="32"/>
          <w:lang w:val="en-GB"/>
        </w:rPr>
        <w:t>除报价文件外其余一律不准出现数字报价。如有不同标项，请按标项号分别装订，密封要求同上。</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（2）所有投标资料按投标文件的组成所列内容及顺序装订成册，</w:t>
      </w:r>
      <w:r>
        <w:rPr>
          <w:rFonts w:hint="eastAsia" w:ascii="宋体" w:hAnsi="宋体" w:cs="宋体"/>
          <w:color w:val="auto"/>
          <w:sz w:val="24"/>
          <w:szCs w:val="32"/>
          <w:lang w:val="zh-CN"/>
        </w:rPr>
        <w:t>并逐页连续标注页码。因投标文件内容不完整、编排混乱导致投标文件被误读、漏读或者查找不到相关内容的责任由投标人自行承担。</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（3）请在密封袋的封口处应有投标单位公章或投标全权代表签名。封皮上写明招标项目名称、投标人名称</w:t>
      </w:r>
      <w:r>
        <w:rPr>
          <w:rFonts w:hint="eastAsia" w:ascii="宋体" w:hAnsi="宋体" w:cs="宋体"/>
          <w:color w:val="auto"/>
          <w:sz w:val="24"/>
          <w:szCs w:val="32"/>
          <w:lang w:val="en-GB" w:eastAsia="zh-CN"/>
        </w:rPr>
        <w:t>、</w:t>
      </w:r>
      <w:r>
        <w:rPr>
          <w:rFonts w:hint="eastAsia" w:ascii="宋体" w:hAnsi="宋体" w:cs="宋体"/>
          <w:color w:val="auto"/>
          <w:sz w:val="24"/>
          <w:szCs w:val="32"/>
          <w:lang w:val="en-US" w:eastAsia="zh-CN"/>
        </w:rPr>
        <w:t>标项</w:t>
      </w:r>
      <w:r>
        <w:rPr>
          <w:rFonts w:hint="eastAsia" w:ascii="宋体" w:hAnsi="宋体" w:cs="宋体"/>
          <w:color w:val="auto"/>
          <w:sz w:val="24"/>
          <w:szCs w:val="32"/>
          <w:lang w:val="en-GB"/>
        </w:rPr>
        <w:t>，并注明“投标文件名称（</w:t>
      </w:r>
      <w:r>
        <w:rPr>
          <w:rFonts w:hint="eastAsia" w:ascii="宋体" w:hAnsi="宋体" w:cs="宋体"/>
          <w:color w:val="auto"/>
          <w:sz w:val="24"/>
          <w:szCs w:val="32"/>
          <w:lang w:val="zh-CN"/>
        </w:rPr>
        <w:t>资格及商务技术文件</w:t>
      </w:r>
      <w:r>
        <w:rPr>
          <w:rFonts w:hint="eastAsia" w:ascii="宋体" w:hAnsi="宋体" w:cs="宋体"/>
          <w:color w:val="auto"/>
          <w:sz w:val="24"/>
          <w:szCs w:val="32"/>
          <w:lang w:val="en-GB"/>
        </w:rPr>
        <w:t>、报价文件）”、“开标时启封”字样，未按上述要求密封及加写标记，采购</w:t>
      </w:r>
      <w:r>
        <w:rPr>
          <w:rFonts w:hint="eastAsia" w:ascii="宋体" w:hAnsi="宋体" w:cs="宋体"/>
          <w:color w:val="auto"/>
          <w:sz w:val="24"/>
          <w:szCs w:val="32"/>
          <w:lang w:val="en-US" w:eastAsia="zh-CN"/>
        </w:rPr>
        <w:t>人</w:t>
      </w:r>
      <w:r>
        <w:rPr>
          <w:rFonts w:hint="eastAsia" w:ascii="宋体" w:hAnsi="宋体" w:cs="宋体"/>
          <w:color w:val="auto"/>
          <w:sz w:val="24"/>
          <w:szCs w:val="32"/>
          <w:lang w:val="en-GB"/>
        </w:rPr>
        <w:t>对投标文件的误投和提前启封不负责任。</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（4）项目如分标项，各标项投标文件必须分开编制，并按上述份数要求单独密封包装。</w:t>
      </w:r>
    </w:p>
    <w:p>
      <w:pPr>
        <w:spacing w:line="360" w:lineRule="auto"/>
        <w:ind w:firstLine="480" w:firstLineChars="200"/>
        <w:rPr>
          <w:rFonts w:hint="eastAsia" w:ascii="宋体" w:hAnsi="宋体" w:cs="宋体"/>
          <w:color w:val="auto"/>
          <w:sz w:val="24"/>
          <w:szCs w:val="32"/>
          <w:lang w:val="zh-CN"/>
        </w:rPr>
      </w:pPr>
      <w:r>
        <w:rPr>
          <w:rFonts w:hint="eastAsia" w:ascii="宋体" w:hAnsi="宋体" w:cs="宋体"/>
          <w:color w:val="auto"/>
          <w:sz w:val="24"/>
          <w:szCs w:val="32"/>
          <w:lang w:val="en-GB"/>
        </w:rPr>
        <w:t>（5）</w:t>
      </w:r>
      <w:r>
        <w:rPr>
          <w:rFonts w:hint="eastAsia" w:ascii="宋体" w:hAnsi="宋体" w:cs="宋体"/>
          <w:color w:val="auto"/>
          <w:sz w:val="24"/>
          <w:szCs w:val="32"/>
          <w:lang w:val="zh-CN"/>
        </w:rPr>
        <w:t>因密封不严、标记不明而造成失密、拒收、过早启封等情况，采购</w:t>
      </w:r>
      <w:r>
        <w:rPr>
          <w:rFonts w:hint="eastAsia" w:ascii="宋体" w:hAnsi="宋体" w:cs="宋体"/>
          <w:color w:val="auto"/>
          <w:sz w:val="24"/>
          <w:szCs w:val="32"/>
          <w:lang w:val="en-US" w:eastAsia="zh-CN"/>
        </w:rPr>
        <w:t>人</w:t>
      </w:r>
      <w:r>
        <w:rPr>
          <w:rFonts w:hint="eastAsia" w:ascii="宋体" w:hAnsi="宋体" w:cs="宋体"/>
          <w:color w:val="auto"/>
          <w:sz w:val="24"/>
          <w:szCs w:val="32"/>
          <w:lang w:val="zh-CN"/>
        </w:rPr>
        <w:t>概不负责。</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3、投标文件的递交要求</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（1）投标文件必须在规定时间前派人送达指定的投标地点。投标文件在截止时间后提交，</w:t>
      </w:r>
      <w:r>
        <w:rPr>
          <w:rFonts w:hint="eastAsia" w:ascii="宋体" w:hAnsi="宋体" w:cs="宋体"/>
          <w:color w:val="auto"/>
          <w:sz w:val="24"/>
          <w:szCs w:val="32"/>
          <w:lang w:val="en-GB" w:eastAsia="zh-CN"/>
        </w:rPr>
        <w:t>采购人</w:t>
      </w:r>
      <w:r>
        <w:rPr>
          <w:rFonts w:hint="eastAsia" w:ascii="宋体" w:hAnsi="宋体" w:cs="宋体"/>
          <w:color w:val="auto"/>
          <w:sz w:val="24"/>
          <w:szCs w:val="32"/>
          <w:lang w:val="en-GB"/>
        </w:rPr>
        <w:t>将拒绝接收。</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（2）如有特殊情况，</w:t>
      </w:r>
      <w:r>
        <w:rPr>
          <w:rFonts w:hint="eastAsia" w:ascii="宋体" w:hAnsi="宋体" w:cs="宋体"/>
          <w:color w:val="auto"/>
          <w:sz w:val="24"/>
          <w:szCs w:val="32"/>
          <w:lang w:val="en-GB" w:eastAsia="zh-CN"/>
        </w:rPr>
        <w:t>采购人</w:t>
      </w:r>
      <w:r>
        <w:rPr>
          <w:rFonts w:hint="eastAsia" w:ascii="宋体" w:hAnsi="宋体" w:cs="宋体"/>
          <w:color w:val="auto"/>
          <w:sz w:val="24"/>
          <w:szCs w:val="32"/>
          <w:lang w:val="en-GB"/>
        </w:rPr>
        <w:t>延长截止时间和开标时间，</w:t>
      </w:r>
      <w:r>
        <w:rPr>
          <w:rFonts w:hint="eastAsia" w:ascii="宋体" w:hAnsi="宋体" w:cs="宋体"/>
          <w:color w:val="auto"/>
          <w:sz w:val="24"/>
          <w:szCs w:val="32"/>
          <w:lang w:val="en-GB" w:eastAsia="zh-CN"/>
        </w:rPr>
        <w:t>采购人</w:t>
      </w:r>
      <w:r>
        <w:rPr>
          <w:rFonts w:hint="eastAsia" w:ascii="宋体" w:hAnsi="宋体" w:cs="宋体"/>
          <w:color w:val="auto"/>
          <w:sz w:val="24"/>
          <w:szCs w:val="32"/>
          <w:lang w:val="en-GB"/>
        </w:rPr>
        <w:t>和投标人的权利和义务将受到新的截止时间和开标时间的约束。</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4、投标文件的补充、修改和撤回。</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（1）投标人如需对上交的投标文件进行补充、修改或撤回的，必须在投标</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截止时间以前将书面的修改文件或撤消通知送达</w:t>
      </w:r>
      <w:r>
        <w:rPr>
          <w:rFonts w:hint="eastAsia" w:ascii="宋体" w:hAnsi="宋体" w:cs="宋体"/>
          <w:color w:val="auto"/>
          <w:sz w:val="24"/>
          <w:szCs w:val="32"/>
          <w:lang w:val="en-GB" w:eastAsia="zh-CN"/>
        </w:rPr>
        <w:t>采购人</w:t>
      </w:r>
      <w:r>
        <w:rPr>
          <w:rFonts w:hint="eastAsia" w:ascii="宋体" w:hAnsi="宋体" w:cs="宋体"/>
          <w:color w:val="auto"/>
          <w:sz w:val="24"/>
          <w:szCs w:val="32"/>
          <w:lang w:val="en-GB"/>
        </w:rPr>
        <w:t>。</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（2）投标修改文件必须密封，在密封袋上写明招标项目名称、投标人名称、并注明“修改文件”、“开标时启封”字样，其作为投标文件的组成部份。</w:t>
      </w:r>
    </w:p>
    <w:p>
      <w:pPr>
        <w:spacing w:line="360" w:lineRule="auto"/>
        <w:ind w:firstLine="482" w:firstLineChars="200"/>
        <w:rPr>
          <w:rFonts w:hint="eastAsia"/>
          <w:b/>
          <w:bCs/>
          <w:color w:val="auto"/>
          <w:sz w:val="24"/>
          <w:szCs w:val="32"/>
        </w:rPr>
      </w:pPr>
      <w:r>
        <w:rPr>
          <w:rFonts w:hint="eastAsia"/>
          <w:b/>
          <w:bCs/>
          <w:color w:val="auto"/>
          <w:sz w:val="24"/>
          <w:szCs w:val="32"/>
        </w:rPr>
        <w:t>（三）投标文件的有效期</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rPr>
        <w:t>1、</w:t>
      </w:r>
      <w:r>
        <w:rPr>
          <w:rFonts w:hint="eastAsia" w:ascii="宋体" w:hAnsi="宋体" w:cs="宋体"/>
          <w:color w:val="auto"/>
          <w:sz w:val="24"/>
          <w:szCs w:val="32"/>
          <w:lang w:val="en-GB"/>
        </w:rPr>
        <w:t>自投标截止日起90天投标文件应保持有效。有效期不足的投标文件将被拒绝。</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rPr>
        <w:t>2、</w:t>
      </w:r>
      <w:r>
        <w:rPr>
          <w:rFonts w:hint="eastAsia" w:ascii="宋体" w:hAnsi="宋体" w:cs="宋体"/>
          <w:color w:val="auto"/>
          <w:sz w:val="24"/>
          <w:szCs w:val="32"/>
          <w:lang w:val="en-GB"/>
        </w:rPr>
        <w:t>在特殊情况下，采购人可与投标人协商延长投标文件的有效期，这种要求和答复均以书面形式进行。</w:t>
      </w:r>
    </w:p>
    <w:p>
      <w:pPr>
        <w:spacing w:line="360" w:lineRule="auto"/>
        <w:ind w:firstLine="480" w:firstLineChars="200"/>
        <w:rPr>
          <w:rFonts w:hint="eastAsia" w:ascii="宋体" w:hAnsi="宋体" w:cs="宋体"/>
          <w:color w:val="auto"/>
          <w:sz w:val="24"/>
          <w:szCs w:val="32"/>
          <w:lang w:val="en-GB"/>
        </w:rPr>
      </w:pPr>
      <w:r>
        <w:rPr>
          <w:rFonts w:hint="eastAsia" w:ascii="宋体" w:hAnsi="宋体" w:cs="宋体"/>
          <w:color w:val="auto"/>
          <w:sz w:val="24"/>
          <w:szCs w:val="32"/>
          <w:lang w:val="en-GB"/>
        </w:rPr>
        <w:t>3、中标人的投标文件自开标之日起至合同履行完毕均应保持有效。</w:t>
      </w:r>
    </w:p>
    <w:p>
      <w:pPr>
        <w:spacing w:line="360" w:lineRule="auto"/>
        <w:ind w:firstLine="482" w:firstLineChars="200"/>
        <w:rPr>
          <w:rFonts w:hint="eastAsia"/>
          <w:b/>
          <w:bCs/>
          <w:color w:val="auto"/>
          <w:sz w:val="24"/>
          <w:szCs w:val="32"/>
        </w:rPr>
      </w:pPr>
      <w:r>
        <w:rPr>
          <w:rFonts w:hint="eastAsia"/>
          <w:b/>
          <w:bCs/>
          <w:color w:val="auto"/>
          <w:sz w:val="24"/>
          <w:szCs w:val="32"/>
        </w:rPr>
        <w:t>四、开标</w:t>
      </w:r>
    </w:p>
    <w:p>
      <w:pPr>
        <w:spacing w:line="360" w:lineRule="auto"/>
        <w:ind w:firstLine="482" w:firstLineChars="200"/>
        <w:rPr>
          <w:rFonts w:hint="eastAsia"/>
          <w:b/>
          <w:bCs/>
          <w:color w:val="auto"/>
          <w:sz w:val="24"/>
          <w:szCs w:val="32"/>
        </w:rPr>
      </w:pPr>
      <w:r>
        <w:rPr>
          <w:rFonts w:hint="eastAsia"/>
          <w:b/>
          <w:bCs/>
          <w:color w:val="auto"/>
          <w:sz w:val="24"/>
          <w:szCs w:val="32"/>
        </w:rPr>
        <w:t>（一）开标事项</w:t>
      </w:r>
    </w:p>
    <w:p>
      <w:pPr>
        <w:spacing w:line="360" w:lineRule="auto"/>
        <w:ind w:firstLine="480" w:firstLineChars="200"/>
        <w:rPr>
          <w:rFonts w:hint="eastAsia"/>
          <w:color w:val="auto"/>
          <w:sz w:val="24"/>
          <w:szCs w:val="32"/>
        </w:rPr>
      </w:pPr>
      <w:r>
        <w:rPr>
          <w:rFonts w:hint="eastAsia"/>
          <w:color w:val="auto"/>
          <w:sz w:val="24"/>
          <w:szCs w:val="32"/>
          <w:lang w:eastAsia="zh-CN"/>
        </w:rPr>
        <w:t>采购人</w:t>
      </w:r>
      <w:r>
        <w:rPr>
          <w:rFonts w:hint="eastAsia"/>
          <w:color w:val="auto"/>
          <w:sz w:val="24"/>
          <w:szCs w:val="32"/>
        </w:rPr>
        <w:t>在“</w:t>
      </w:r>
      <w:r>
        <w:rPr>
          <w:rFonts w:hint="eastAsia"/>
          <w:color w:val="auto"/>
          <w:sz w:val="24"/>
          <w:szCs w:val="32"/>
          <w:lang w:val="en-US" w:eastAsia="zh-CN"/>
        </w:rPr>
        <w:t>采购文件</w:t>
      </w:r>
      <w:r>
        <w:rPr>
          <w:rFonts w:hint="eastAsia"/>
          <w:color w:val="auto"/>
          <w:sz w:val="24"/>
          <w:szCs w:val="32"/>
        </w:rPr>
        <w:t>”规定的时间和地点公开开标，投标人的法定代表人或其授权代表应参加开标会并签到。投标人的法定代表人或其授权代表未按时签到的，视同放弃开标监督权利、认可开标结果。</w:t>
      </w:r>
      <w:r>
        <w:rPr>
          <w:rFonts w:hint="eastAsia"/>
          <w:color w:val="auto"/>
          <w:sz w:val="24"/>
          <w:szCs w:val="32"/>
          <w:lang w:eastAsia="zh-CN"/>
        </w:rPr>
        <w:t>采购人</w:t>
      </w:r>
      <w:r>
        <w:rPr>
          <w:rFonts w:hint="eastAsia"/>
          <w:color w:val="auto"/>
          <w:sz w:val="24"/>
          <w:szCs w:val="32"/>
        </w:rPr>
        <w:t>工作人员接收投标文件并登记，并由供应商代表对递交记录情况进行签字确认。</w:t>
      </w:r>
    </w:p>
    <w:p>
      <w:pPr>
        <w:spacing w:line="360" w:lineRule="auto"/>
        <w:ind w:firstLine="482" w:firstLineChars="200"/>
        <w:rPr>
          <w:rFonts w:hint="eastAsia"/>
          <w:b/>
          <w:bCs/>
          <w:color w:val="auto"/>
          <w:sz w:val="24"/>
          <w:szCs w:val="32"/>
        </w:rPr>
      </w:pPr>
      <w:r>
        <w:rPr>
          <w:rFonts w:hint="eastAsia"/>
          <w:b/>
          <w:bCs/>
          <w:color w:val="auto"/>
          <w:sz w:val="24"/>
          <w:szCs w:val="32"/>
        </w:rPr>
        <w:t>（二） 开标程序</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1、开标会由</w:t>
      </w:r>
      <w:r>
        <w:rPr>
          <w:rFonts w:hint="eastAsia" w:ascii="宋体" w:hAnsi="宋体" w:cs="宋体"/>
          <w:color w:val="auto"/>
          <w:sz w:val="24"/>
          <w:szCs w:val="32"/>
          <w:lang w:val="en-US" w:eastAsia="zh-CN"/>
        </w:rPr>
        <w:t>采购人指定人员</w:t>
      </w:r>
      <w:r>
        <w:rPr>
          <w:rFonts w:hint="eastAsia" w:ascii="宋体" w:hAnsi="宋体" w:cs="宋体"/>
          <w:color w:val="auto"/>
          <w:sz w:val="24"/>
          <w:szCs w:val="32"/>
        </w:rPr>
        <w:t>主持，主持人宣布开标会议开始；</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 xml:space="preserve">2、主持人介绍参加开标会的人员名单； </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3、主持人宣布评标期间的有关事项，告知应当回避的情形,提请有关人员回避；</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4、投标人或其当场推荐的代表，检查投标文件密封的完整性；</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5、按投标文件递交的先后顺序当场拆封资格证明文件、</w:t>
      </w:r>
      <w:r>
        <w:rPr>
          <w:rFonts w:hint="eastAsia" w:ascii="宋体" w:hAnsi="宋体" w:cs="宋体"/>
          <w:color w:val="auto"/>
          <w:sz w:val="24"/>
          <w:szCs w:val="32"/>
          <w:lang w:val="zh-CN"/>
        </w:rPr>
        <w:t>商务与技术文件</w:t>
      </w:r>
      <w:r>
        <w:rPr>
          <w:rFonts w:hint="eastAsia" w:ascii="宋体" w:hAnsi="宋体" w:cs="宋体"/>
          <w:color w:val="auto"/>
          <w:sz w:val="24"/>
          <w:szCs w:val="32"/>
        </w:rPr>
        <w:t>后，进入资格审查及符合性审查环节；</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lang w:val="en-US" w:eastAsia="zh-CN"/>
        </w:rPr>
        <w:t>6</w:t>
      </w:r>
      <w:r>
        <w:rPr>
          <w:rFonts w:hint="eastAsia" w:ascii="宋体" w:hAnsi="宋体" w:cs="宋体"/>
          <w:color w:val="auto"/>
          <w:sz w:val="24"/>
          <w:szCs w:val="32"/>
        </w:rPr>
        <w:t>、</w:t>
      </w:r>
      <w:r>
        <w:rPr>
          <w:rFonts w:hint="eastAsia" w:ascii="宋体" w:hAnsi="宋体" w:cs="宋体"/>
          <w:color w:val="auto"/>
          <w:sz w:val="24"/>
          <w:szCs w:val="32"/>
          <w:lang w:eastAsia="zh-CN"/>
        </w:rPr>
        <w:t>采购人</w:t>
      </w:r>
      <w:r>
        <w:rPr>
          <w:rFonts w:hint="eastAsia" w:ascii="宋体" w:hAnsi="宋体" w:cs="宋体"/>
          <w:color w:val="auto"/>
          <w:sz w:val="24"/>
          <w:szCs w:val="32"/>
        </w:rPr>
        <w:t>做开标记录, 投标人代表对开标记录进行当场校核及勘误，并签字确认。同时由记录人、监督人当场签字确认。投标人代表未到场签字确认或者拒绝签字确认的，不影响评标过程；</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lang w:val="en-US" w:eastAsia="zh-CN"/>
        </w:rPr>
        <w:t>7</w:t>
      </w:r>
      <w:r>
        <w:rPr>
          <w:rFonts w:hint="eastAsia" w:ascii="宋体" w:hAnsi="宋体" w:cs="宋体"/>
          <w:color w:val="auto"/>
          <w:sz w:val="24"/>
          <w:szCs w:val="32"/>
        </w:rPr>
        <w:t>、在完成评标后，宣布评标结果，开标会议结束。</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五、评标</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（一）组建评标委员会</w:t>
      </w:r>
    </w:p>
    <w:p>
      <w:pPr>
        <w:spacing w:line="360" w:lineRule="auto"/>
        <w:ind w:firstLine="480" w:firstLineChars="200"/>
        <w:rPr>
          <w:rFonts w:hint="eastAsia" w:ascii="宋体" w:hAnsi="宋体" w:eastAsia="宋体" w:cs="宋体"/>
          <w:color w:val="auto"/>
          <w:sz w:val="24"/>
          <w:szCs w:val="32"/>
          <w:lang w:eastAsia="zh-CN"/>
        </w:rPr>
      </w:pPr>
      <w:r>
        <w:rPr>
          <w:rFonts w:hAnsi="宋体"/>
          <w:color w:val="000000"/>
          <w:sz w:val="24"/>
        </w:rPr>
        <w:t>本项目评标委员会由评审专家组成</w:t>
      </w:r>
      <w:r>
        <w:rPr>
          <w:rFonts w:hint="eastAsia" w:hAnsi="宋体"/>
          <w:color w:val="000000"/>
          <w:sz w:val="24"/>
          <w:lang w:eastAsia="zh-CN"/>
        </w:rPr>
        <w:t>。</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（二）评标程序</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1、资格审查</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公开招标采购项目开标结束后，</w:t>
      </w:r>
      <w:r>
        <w:rPr>
          <w:rFonts w:hint="eastAsia" w:ascii="宋体" w:hAnsi="宋体" w:cs="宋体"/>
          <w:color w:val="auto"/>
          <w:sz w:val="24"/>
          <w:szCs w:val="32"/>
          <w:lang w:eastAsia="zh-CN"/>
        </w:rPr>
        <w:t>采购人</w:t>
      </w:r>
      <w:r>
        <w:rPr>
          <w:rFonts w:hint="eastAsia" w:ascii="宋体" w:hAnsi="宋体" w:cs="宋体"/>
          <w:color w:val="auto"/>
          <w:sz w:val="24"/>
          <w:szCs w:val="32"/>
        </w:rPr>
        <w:t>应当依法对投标人的资格进行审查，对审查发现无效的进行必要的询标，结束后公布无效投标的投标人名单、投标无效的原因。</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2、符合性审查</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评标委员会应当对符合资格的投标人的投标文件进行符合性审查，以确定其是否满足招标文件的实质性要求，对审查发现无效的进行必要的询标，结束后公布无效投标的投标人名单、投标无效的原因。</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3、综合比较与评价</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（1）对于投标文件中含义不明确、同类问题表述不一致或者有明显文字和计算错误的内容，评标委员会应当以书面形式要求投标人作出必要的澄清、说明或者补正。</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（2）评标委员会应当按照招标文件中规定的评标方法和标准，对符合性审查合格的投标文件进行商务和技术评估，综合比较与评价。</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（3）评标时，评标委员会各成员应当独立对每个投标人的投标文件进行评价，并汇总每个投标人的得分。</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4、得分确认及评审报告编写</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（1）评标委员会对报价文件进行复核，对于系统计算出的价格分及总得分进行确认；</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（2）评标委员会应当按照招标文件中规定的评标方法和标准，对符合性审查合格的投标文件进行商务和技术评估，综合比较与评价。</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（三）澄清问题的形式</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投标人的澄清、说明或者补正应当采用书面形式，并加盖公章或者由法定代理人或其授权的代表签字，并不得超出投标文件的范围或者改变投标文件的实质性内容。</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（四）错误修正</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投标文件报价出现前后不一致的，除招标文件另有规定外，按照下列规定修正：</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1、投标文件中开标一览表（报价表）内容与投标文件中相应内容不一致的，以开标一览表（报价表）为准；</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2、大写金额和小写金额不一致的，以大写金额为准；</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3、单价金额小数点或者百分比有明显错位的，以开标一览表的总价为准，并修改单价；</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4、总价金额与按单价汇总金额不一致的，以单价金额计算结果为准。</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同时出现两种以上不一致的，按照前款规定的顺序修正。修正应当采用书面形式，并加盖公章，或者由法定代表人或其授权的代表签字。修正后的报价经投标人确认后产生约束力，投标人不确认的，其投标无效。</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（五）投标人存在下列情况之一的，投标无效</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1、资格证明文件或商务与技术文件跟报价文件出现混装或在资格证明文件或商务与技术文件中出现投标报价的，或者报价文件中报价的货物跟商务与技术文件中的投标货物出现重大偏差的；</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2、不具备招标文件中规定的资格要求的。</w:t>
      </w:r>
      <w:r>
        <w:rPr>
          <w:rFonts w:hint="eastAsia" w:ascii="宋体" w:hAnsi="宋体" w:cs="宋体"/>
          <w:color w:val="auto"/>
          <w:sz w:val="24"/>
          <w:szCs w:val="32"/>
        </w:rPr>
        <w:tab/>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3、投标文件含有采购人不能接受的附加条件的。</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4、投标代表人未能出具身份证明或与法定代表人授权委托人身份不符的；</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5、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 xml:space="preserve">6、报价超过招标文件中规定的最高限价。 </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7、投标参数未如实填写，完全复制粘贴招标参数的。</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 xml:space="preserve">8、投标文件提供虚假材料的。 </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9、不符合中华人民共和国财政部令第87号《政府采购货物和服务招标投标管理办法》第三十七条情形之一的，视为投标人串通投标，其投标无效：</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（1）不同投标人的投标文件由同一单位或者个人编制；</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（2）不同投标人委托同一单位或者个人办理投标事宜；</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（3）不同投标人的投标文件载明的项目管理成员或者联系人员为同一人；</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（4）不同投标人的投标文件异常一致或者投标报价呈规律性差异；</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（5）不同投标人的投标文件相互混装；</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10、不符合法律、法规和招标文件中规定的其他实质性要求的（招标文件中打“▲”内容及被拒绝的条款）。</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（六）有下列情况之一的，本次招标作为废标处理</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1、出现影响采购公正的违法、违规行为的；</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 xml:space="preserve">2、评标委员会发现招标文件存在歧义、重大缺陷导致评标工作无法进行，或者招标文件内容违反国家有关强制性规定的； </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3、因重大变故，采购任务取消的；</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4、法律、法规和招标文件规定的其他导致评标结果无效的。</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（七）评标原则和评标办法</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1、评标原则</w:t>
      </w:r>
      <w:r>
        <w:rPr>
          <w:rFonts w:hint="eastAsia" w:ascii="宋体" w:hAnsi="宋体" w:cs="宋体"/>
          <w:color w:val="auto"/>
          <w:sz w:val="24"/>
          <w:szCs w:val="32"/>
          <w:lang w:eastAsia="zh-CN"/>
        </w:rPr>
        <w:t>：</w:t>
      </w:r>
      <w:r>
        <w:rPr>
          <w:rFonts w:hint="eastAsia" w:ascii="宋体" w:hAnsi="宋体" w:cs="宋体"/>
          <w:color w:val="auto"/>
          <w:sz w:val="24"/>
          <w:szCs w:val="32"/>
        </w:rPr>
        <w:t>评标委员会必须公平、公正、客观，不带任何倾向性和启发性；不得向外界透露任何与评标有关的内容；任何单位和个人不得干扰、影响评标的正常进行；评标委员会及有关工作人员不得私下与投标人接触。</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2、评标办法</w:t>
      </w:r>
      <w:r>
        <w:rPr>
          <w:rFonts w:hint="eastAsia" w:ascii="宋体" w:hAnsi="宋体" w:cs="宋体"/>
          <w:color w:val="auto"/>
          <w:sz w:val="24"/>
          <w:szCs w:val="32"/>
          <w:lang w:eastAsia="zh-CN"/>
        </w:rPr>
        <w:t>：</w:t>
      </w:r>
      <w:r>
        <w:rPr>
          <w:rFonts w:hint="eastAsia" w:ascii="宋体" w:hAnsi="宋体" w:cs="宋体"/>
          <w:color w:val="auto"/>
          <w:sz w:val="24"/>
          <w:szCs w:val="32"/>
        </w:rPr>
        <w:t>具体评标内容及评分标准等详见《第三章：评标方法及评分标准》。</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六、定标</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1、确定中标供应商。评标委员会根据</w:t>
      </w:r>
      <w:r>
        <w:rPr>
          <w:rFonts w:hint="eastAsia" w:ascii="宋体" w:hAnsi="宋体" w:cs="宋体"/>
          <w:color w:val="auto"/>
          <w:sz w:val="24"/>
          <w:szCs w:val="32"/>
          <w:lang w:val="en-US" w:eastAsia="zh-CN"/>
        </w:rPr>
        <w:t>评审内容</w:t>
      </w:r>
      <w:r>
        <w:rPr>
          <w:rFonts w:hint="eastAsia" w:ascii="宋体" w:hAnsi="宋体" w:cs="宋体"/>
          <w:color w:val="auto"/>
          <w:sz w:val="24"/>
          <w:szCs w:val="32"/>
        </w:rPr>
        <w:t>推荐中标候选人或确定中标人。</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2、发布中标结果公告。如发现中标供应商资格无效或其放弃中标资格，则按本次评标供应商得分排序结果依次替补或重新组织。</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3、发出中标通知书。</w:t>
      </w:r>
      <w:r>
        <w:rPr>
          <w:rFonts w:hint="eastAsia" w:ascii="宋体" w:hAnsi="宋体" w:cs="宋体"/>
          <w:color w:val="auto"/>
          <w:sz w:val="24"/>
          <w:szCs w:val="32"/>
          <w:lang w:eastAsia="zh-CN"/>
        </w:rPr>
        <w:t>采购人</w:t>
      </w:r>
      <w:r>
        <w:rPr>
          <w:rFonts w:hint="eastAsia" w:ascii="宋体" w:hAnsi="宋体" w:cs="宋体"/>
          <w:color w:val="auto"/>
          <w:sz w:val="24"/>
          <w:szCs w:val="32"/>
        </w:rPr>
        <w:t>在发布中标结果的同时，向中标人发出中标通知书。</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七、合同签订及公告</w:t>
      </w:r>
    </w:p>
    <w:p>
      <w:pPr>
        <w:spacing w:line="360" w:lineRule="auto"/>
        <w:ind w:firstLine="482" w:firstLineChars="200"/>
        <w:rPr>
          <w:rFonts w:hint="eastAsia" w:ascii="宋体" w:hAnsi="宋体" w:cs="宋体"/>
          <w:b/>
          <w:bCs/>
          <w:color w:val="auto"/>
          <w:sz w:val="24"/>
          <w:szCs w:val="32"/>
        </w:rPr>
      </w:pPr>
      <w:r>
        <w:rPr>
          <w:rFonts w:hint="eastAsia" w:ascii="宋体" w:hAnsi="宋体" w:cs="宋体"/>
          <w:b/>
          <w:bCs/>
          <w:color w:val="auto"/>
          <w:sz w:val="24"/>
          <w:szCs w:val="32"/>
        </w:rPr>
        <w:t>（一）签订合同</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1、采购人应当自中标通知书发出之日起5个工作日内，按照招标文件和中标人投标文件的规定，与中标人签订书面合同。所签订的合同不得对招标文件确定的事项和中标人投标文件作实质性修改。</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2、采购人不得向中标人提出任何不合理的要求作为签订合同的条件。</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3、中标供应商无故拖延、拒签合同的,取消中标资格。</w:t>
      </w:r>
    </w:p>
    <w:p>
      <w:pPr>
        <w:spacing w:line="360" w:lineRule="auto"/>
        <w:ind w:firstLine="480" w:firstLineChars="200"/>
        <w:rPr>
          <w:rFonts w:hint="eastAsia" w:ascii="宋体" w:hAnsi="宋体" w:cs="宋体"/>
          <w:color w:val="auto"/>
          <w:sz w:val="24"/>
          <w:szCs w:val="32"/>
        </w:rPr>
      </w:pPr>
      <w:r>
        <w:rPr>
          <w:rFonts w:hint="eastAsia" w:ascii="宋体" w:hAnsi="宋体" w:cs="宋体"/>
          <w:color w:val="auto"/>
          <w:sz w:val="24"/>
          <w:szCs w:val="32"/>
        </w:rPr>
        <w:t>4、中标供应商拒绝与采购人签订合同的，采购人可以按照评审报告推荐的中标候选人名单排序，确定下一候选人为中标供应商，也可以重新开展采购活动。</w:t>
      </w:r>
    </w:p>
    <w:p>
      <w:pPr>
        <w:spacing w:line="360" w:lineRule="auto"/>
        <w:ind w:firstLine="480" w:firstLineChars="200"/>
        <w:rPr>
          <w:color w:val="auto"/>
        </w:rPr>
      </w:pPr>
      <w:r>
        <w:rPr>
          <w:rFonts w:hint="eastAsia" w:ascii="宋体" w:hAnsi="宋体" w:cs="宋体"/>
          <w:color w:val="auto"/>
          <w:sz w:val="24"/>
          <w:szCs w:val="32"/>
        </w:rPr>
        <w:t>5、询问或者质疑事项可能影响中标结果的，采购人应当暂停签订合同，已经签订合同的，应当中止履行合同（中标结果的质疑期为中标结果公告之日起七个工作日）。</w:t>
      </w:r>
    </w:p>
    <w:p>
      <w:pPr>
        <w:pStyle w:val="2"/>
        <w:rPr>
          <w:rFonts w:hint="eastAsia"/>
        </w:rPr>
      </w:pPr>
    </w:p>
    <w:p>
      <w:pPr>
        <w:pStyle w:val="2"/>
        <w:rPr>
          <w:rFonts w:hint="eastAsia"/>
        </w:rPr>
      </w:pPr>
    </w:p>
    <w:p>
      <w:pPr>
        <w:pStyle w:val="2"/>
        <w:rPr>
          <w:rFonts w:hint="eastAsia" w:ascii="宋体" w:hAnsi="宋体" w:cs="宋体"/>
          <w:color w:val="FF0000"/>
          <w:sz w:val="24"/>
          <w:highlight w:val="yellow"/>
        </w:rPr>
      </w:pPr>
    </w:p>
    <w:p>
      <w:pPr>
        <w:pStyle w:val="2"/>
        <w:rPr>
          <w:rFonts w:hint="eastAsia" w:ascii="宋体" w:hAnsi="宋体" w:cs="宋体"/>
          <w:color w:val="FF0000"/>
          <w:sz w:val="24"/>
          <w:highlight w:val="yellow"/>
        </w:rPr>
      </w:pPr>
    </w:p>
    <w:p>
      <w:pPr>
        <w:pStyle w:val="2"/>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spacing w:line="360" w:lineRule="auto"/>
        <w:jc w:val="center"/>
        <w:rPr>
          <w:rFonts w:hint="eastAsia" w:ascii="宋体" w:hAnsi="宋体" w:cs="宋体"/>
          <w:color w:val="auto"/>
          <w:sz w:val="24"/>
          <w:highlight w:val="none"/>
        </w:rPr>
      </w:pPr>
      <w:r>
        <w:rPr>
          <w:rFonts w:hint="eastAsia" w:ascii="宋体" w:hAnsi="宋体"/>
          <w:b/>
          <w:color w:val="auto"/>
          <w:sz w:val="36"/>
          <w:szCs w:val="36"/>
          <w:highlight w:val="none"/>
        </w:rPr>
        <w:t>第</w:t>
      </w:r>
      <w:r>
        <w:rPr>
          <w:rFonts w:hint="eastAsia" w:ascii="宋体" w:hAnsi="宋体"/>
          <w:b/>
          <w:color w:val="auto"/>
          <w:sz w:val="36"/>
          <w:szCs w:val="36"/>
          <w:highlight w:val="none"/>
          <w:lang w:eastAsia="zh-CN"/>
        </w:rPr>
        <w:t>二</w:t>
      </w:r>
      <w:r>
        <w:rPr>
          <w:rFonts w:hint="eastAsia" w:ascii="宋体" w:hAnsi="宋体"/>
          <w:b/>
          <w:color w:val="auto"/>
          <w:sz w:val="36"/>
          <w:szCs w:val="36"/>
          <w:highlight w:val="none"/>
        </w:rPr>
        <w:t>章 评标办法及评分标准</w:t>
      </w:r>
    </w:p>
    <w:p>
      <w:pPr>
        <w:spacing w:line="360" w:lineRule="auto"/>
        <w:ind w:firstLine="480" w:firstLineChars="200"/>
        <w:rPr>
          <w:rFonts w:hint="eastAsia" w:ascii="宋体" w:hAnsi="宋体" w:cs="宋体"/>
          <w:color w:val="auto"/>
          <w:sz w:val="24"/>
          <w:highlight w:val="none"/>
        </w:rPr>
      </w:pPr>
      <w:r>
        <w:rPr>
          <w:rFonts w:hint="eastAsia" w:ascii="宋体" w:hAnsi="宋体" w:cs="宋体"/>
          <w:color w:val="auto"/>
          <w:sz w:val="24"/>
          <w:highlight w:val="none"/>
        </w:rPr>
        <w:t>一、</w:t>
      </w:r>
      <w:r>
        <w:rPr>
          <w:rFonts w:hint="eastAsia" w:ascii="宋体" w:hAnsi="宋体" w:cs="宋体"/>
          <w:color w:val="auto"/>
          <w:sz w:val="24"/>
          <w:highlight w:val="none"/>
          <w:lang w:eastAsia="zh-CN"/>
        </w:rPr>
        <w:t>采购人</w:t>
      </w:r>
      <w:r>
        <w:rPr>
          <w:rFonts w:hint="eastAsia" w:ascii="宋体" w:hAnsi="宋体" w:cs="宋体"/>
          <w:color w:val="auto"/>
          <w:sz w:val="24"/>
          <w:highlight w:val="none"/>
        </w:rPr>
        <w:t>将组织评标委员会，对投标人提供的投标文件进行综合评审。</w:t>
      </w:r>
    </w:p>
    <w:p>
      <w:pPr>
        <w:spacing w:line="360" w:lineRule="auto"/>
        <w:ind w:firstLine="480" w:firstLineChars="200"/>
        <w:rPr>
          <w:rFonts w:ascii="宋体" w:hAnsi="宋体" w:cs="宋体"/>
          <w:color w:val="auto"/>
          <w:sz w:val="24"/>
          <w:highlight w:val="none"/>
        </w:rPr>
      </w:pPr>
      <w:r>
        <w:rPr>
          <w:rFonts w:hint="eastAsia" w:ascii="宋体" w:hAnsi="宋体" w:cs="宋体"/>
          <w:color w:val="auto"/>
          <w:sz w:val="24"/>
          <w:highlight w:val="none"/>
        </w:rPr>
        <w:t>二、本次招标项目的评标方法为综合评分法，总计100分，其中资格及</w:t>
      </w:r>
      <w:r>
        <w:rPr>
          <w:rFonts w:hint="eastAsia" w:ascii="宋体" w:hAnsi="宋体" w:cs="宋体"/>
          <w:color w:val="auto"/>
          <w:sz w:val="24"/>
          <w:highlight w:val="none"/>
          <w:lang w:val="zh-CN"/>
        </w:rPr>
        <w:t>商务技术文件分值</w:t>
      </w:r>
      <w:r>
        <w:rPr>
          <w:rFonts w:hint="eastAsia" w:ascii="宋体" w:hAnsi="宋体" w:cs="宋体"/>
          <w:color w:val="auto"/>
          <w:sz w:val="24"/>
          <w:highlight w:val="none"/>
          <w:lang w:val="en-US" w:eastAsia="zh-CN"/>
        </w:rPr>
        <w:t>40</w:t>
      </w:r>
      <w:r>
        <w:rPr>
          <w:rFonts w:hint="eastAsia" w:ascii="宋体" w:hAnsi="宋体" w:cs="宋体"/>
          <w:color w:val="auto"/>
          <w:sz w:val="24"/>
          <w:highlight w:val="none"/>
          <w:lang w:val="zh-CN"/>
        </w:rPr>
        <w:t>分，投标报价分值</w:t>
      </w:r>
      <w:r>
        <w:rPr>
          <w:rFonts w:hint="eastAsia" w:ascii="宋体" w:hAnsi="宋体" w:cs="宋体"/>
          <w:color w:val="auto"/>
          <w:sz w:val="24"/>
          <w:highlight w:val="none"/>
          <w:lang w:val="en-US" w:eastAsia="zh-CN"/>
        </w:rPr>
        <w:t>60</w:t>
      </w:r>
      <w:r>
        <w:rPr>
          <w:rFonts w:hint="eastAsia" w:ascii="宋体" w:hAnsi="宋体" w:cs="宋体"/>
          <w:color w:val="auto"/>
          <w:sz w:val="24"/>
          <w:highlight w:val="none"/>
          <w:lang w:val="zh-CN"/>
        </w:rPr>
        <w:t>分</w:t>
      </w:r>
      <w:r>
        <w:rPr>
          <w:rFonts w:hint="eastAsia" w:ascii="宋体" w:hAnsi="宋体" w:cs="宋体"/>
          <w:color w:val="auto"/>
          <w:sz w:val="24"/>
          <w:highlight w:val="none"/>
        </w:rPr>
        <w:t>。评标标准按评分细化条款及分值进行评审。</w:t>
      </w:r>
    </w:p>
    <w:p>
      <w:pPr>
        <w:spacing w:line="360" w:lineRule="auto"/>
        <w:ind w:firstLine="480" w:firstLineChars="200"/>
        <w:rPr>
          <w:rFonts w:ascii="宋体" w:hAnsi="宋体" w:cs="宋体"/>
          <w:color w:val="auto"/>
          <w:sz w:val="24"/>
          <w:highlight w:val="none"/>
          <w:lang w:val="zh-CN"/>
        </w:rPr>
      </w:pPr>
      <w:r>
        <w:rPr>
          <w:rFonts w:hint="eastAsia" w:ascii="宋体" w:hAnsi="宋体" w:cs="宋体"/>
          <w:color w:val="auto"/>
          <w:sz w:val="24"/>
          <w:highlight w:val="none"/>
          <w:lang w:val="zh-CN"/>
        </w:rPr>
        <w:t>（一）</w:t>
      </w:r>
      <w:r>
        <w:rPr>
          <w:rFonts w:hint="eastAsia" w:ascii="宋体" w:hAnsi="宋体" w:cs="宋体"/>
          <w:color w:val="auto"/>
          <w:sz w:val="24"/>
          <w:highlight w:val="none"/>
        </w:rPr>
        <w:t>资格及</w:t>
      </w:r>
      <w:r>
        <w:rPr>
          <w:rFonts w:hint="eastAsia" w:ascii="宋体" w:hAnsi="宋体" w:cs="宋体"/>
          <w:color w:val="auto"/>
          <w:sz w:val="24"/>
          <w:highlight w:val="none"/>
          <w:lang w:val="zh-CN"/>
        </w:rPr>
        <w:t>商务技术文件中的客观分由评标委员会讨论后统一打分；其余在规定的分值内单独评定打分</w:t>
      </w:r>
      <w:r>
        <w:rPr>
          <w:rFonts w:hint="eastAsia" w:ascii="宋体" w:hAnsi="宋体" w:cs="宋体"/>
          <w:color w:val="auto"/>
          <w:sz w:val="24"/>
          <w:highlight w:val="none"/>
        </w:rPr>
        <w:t>（小数点后保留1位）</w:t>
      </w:r>
      <w:r>
        <w:rPr>
          <w:rFonts w:hint="eastAsia" w:ascii="宋体" w:hAnsi="宋体" w:cs="宋体"/>
          <w:color w:val="auto"/>
          <w:sz w:val="24"/>
          <w:highlight w:val="none"/>
          <w:lang w:val="zh-CN"/>
        </w:rPr>
        <w:t>。</w:t>
      </w:r>
    </w:p>
    <w:p>
      <w:pPr>
        <w:spacing w:line="360" w:lineRule="auto"/>
        <w:ind w:firstLine="480" w:firstLineChars="200"/>
        <w:rPr>
          <w:rFonts w:ascii="宋体" w:hAnsi="宋体" w:cs="宋体"/>
          <w:color w:val="auto"/>
          <w:sz w:val="24"/>
          <w:highlight w:val="none"/>
          <w:lang w:val="zh-CN"/>
        </w:rPr>
      </w:pPr>
      <w:r>
        <w:rPr>
          <w:rFonts w:hint="eastAsia" w:ascii="宋体" w:hAnsi="宋体" w:cs="宋体"/>
          <w:color w:val="auto"/>
          <w:sz w:val="24"/>
          <w:highlight w:val="none"/>
          <w:lang w:val="zh-CN"/>
        </w:rPr>
        <w:t>（二）各投标人</w:t>
      </w:r>
      <w:r>
        <w:rPr>
          <w:rFonts w:hint="eastAsia" w:ascii="宋体" w:hAnsi="宋体" w:cs="宋体"/>
          <w:color w:val="auto"/>
          <w:sz w:val="24"/>
          <w:highlight w:val="none"/>
        </w:rPr>
        <w:t>资格及</w:t>
      </w:r>
      <w:r>
        <w:rPr>
          <w:rFonts w:hint="eastAsia" w:ascii="宋体" w:hAnsi="宋体" w:cs="宋体"/>
          <w:color w:val="auto"/>
          <w:sz w:val="24"/>
          <w:highlight w:val="none"/>
          <w:lang w:val="zh-CN"/>
        </w:rPr>
        <w:t>商务技术文件得分按照评标委员会成员的独立评分结果汇总后的算术平均分计算</w:t>
      </w:r>
      <w:r>
        <w:rPr>
          <w:rFonts w:hint="eastAsia" w:ascii="宋体" w:hAnsi="宋体" w:cs="宋体"/>
          <w:color w:val="auto"/>
          <w:sz w:val="24"/>
          <w:highlight w:val="none"/>
        </w:rPr>
        <w:t>（小数点后保留2位）</w:t>
      </w:r>
      <w:r>
        <w:rPr>
          <w:rFonts w:hint="eastAsia" w:ascii="宋体" w:hAnsi="宋体" w:cs="宋体"/>
          <w:color w:val="auto"/>
          <w:sz w:val="24"/>
          <w:highlight w:val="none"/>
          <w:lang w:val="zh-CN"/>
        </w:rPr>
        <w:t>，计算公式为：</w:t>
      </w:r>
    </w:p>
    <w:p>
      <w:pPr>
        <w:spacing w:line="360" w:lineRule="auto"/>
        <w:ind w:firstLine="480" w:firstLineChars="200"/>
        <w:rPr>
          <w:rFonts w:ascii="宋体" w:hAnsi="宋体" w:cs="宋体"/>
          <w:color w:val="auto"/>
          <w:sz w:val="24"/>
          <w:highlight w:val="none"/>
          <w:lang w:val="zh-CN"/>
        </w:rPr>
      </w:pPr>
      <w:r>
        <w:rPr>
          <w:rFonts w:hint="eastAsia" w:ascii="宋体" w:hAnsi="宋体" w:cs="宋体"/>
          <w:color w:val="auto"/>
          <w:sz w:val="24"/>
          <w:highlight w:val="none"/>
        </w:rPr>
        <w:t>资格及</w:t>
      </w:r>
      <w:r>
        <w:rPr>
          <w:rFonts w:hint="eastAsia" w:ascii="宋体" w:hAnsi="宋体" w:cs="宋体"/>
          <w:color w:val="auto"/>
          <w:sz w:val="24"/>
          <w:highlight w:val="none"/>
          <w:lang w:val="zh-CN"/>
        </w:rPr>
        <w:t>商务技术文件</w:t>
      </w:r>
      <w:r>
        <w:rPr>
          <w:rFonts w:hint="eastAsia" w:ascii="宋体" w:hAnsi="宋体" w:cs="宋体"/>
          <w:color w:val="auto"/>
          <w:sz w:val="24"/>
          <w:highlight w:val="none"/>
        </w:rPr>
        <w:t>得分</w:t>
      </w:r>
      <w:r>
        <w:rPr>
          <w:rFonts w:hint="eastAsia" w:ascii="宋体" w:hAnsi="宋体" w:cs="宋体"/>
          <w:color w:val="auto"/>
          <w:sz w:val="24"/>
          <w:highlight w:val="none"/>
          <w:lang w:val="zh-CN"/>
        </w:rPr>
        <w:t>=评标委员会所有成员评分合计数/评标委员会组成人员数。</w:t>
      </w:r>
    </w:p>
    <w:p>
      <w:pPr>
        <w:spacing w:line="360" w:lineRule="auto"/>
        <w:ind w:firstLine="480" w:firstLineChars="200"/>
        <w:rPr>
          <w:rFonts w:ascii="宋体" w:hAnsi="宋体" w:cs="宋体"/>
          <w:color w:val="auto"/>
          <w:sz w:val="24"/>
          <w:highlight w:val="none"/>
          <w:lang w:val="zh-CN"/>
        </w:rPr>
      </w:pPr>
      <w:r>
        <w:rPr>
          <w:rFonts w:hint="eastAsia" w:ascii="宋体" w:hAnsi="宋体" w:cs="宋体"/>
          <w:color w:val="auto"/>
          <w:sz w:val="24"/>
          <w:highlight w:val="none"/>
          <w:lang w:val="zh-CN"/>
        </w:rPr>
        <w:t>（三）投标报价得分采用低价优先法计算</w:t>
      </w:r>
      <w:r>
        <w:rPr>
          <w:rFonts w:hint="eastAsia" w:ascii="宋体" w:hAnsi="宋体" w:cs="宋体"/>
          <w:color w:val="auto"/>
          <w:sz w:val="24"/>
          <w:highlight w:val="none"/>
        </w:rPr>
        <w:t>（小数点后保留2位）</w:t>
      </w:r>
      <w:r>
        <w:rPr>
          <w:rFonts w:hint="eastAsia" w:ascii="宋体" w:hAnsi="宋体" w:cs="宋体"/>
          <w:color w:val="auto"/>
          <w:sz w:val="24"/>
          <w:highlight w:val="none"/>
          <w:lang w:val="zh-CN"/>
        </w:rPr>
        <w:t>，即满足招标文件要求且投标价格最低的投标报价为评标基准价，其报价得满分。其他投标人的投标报价得分按下列公式计算：</w:t>
      </w:r>
    </w:p>
    <w:p>
      <w:pPr>
        <w:spacing w:line="360" w:lineRule="auto"/>
        <w:ind w:firstLine="480" w:firstLineChars="200"/>
        <w:rPr>
          <w:rFonts w:hint="eastAsia" w:ascii="宋体" w:hAnsi="宋体" w:cs="宋体"/>
          <w:color w:val="auto"/>
          <w:sz w:val="24"/>
          <w:highlight w:val="none"/>
          <w:u w:val="single"/>
          <w:lang w:val="zh-CN"/>
        </w:rPr>
      </w:pPr>
      <w:r>
        <w:rPr>
          <w:rFonts w:hint="eastAsia" w:ascii="宋体" w:hAnsi="宋体" w:cs="宋体"/>
          <w:color w:val="auto"/>
          <w:sz w:val="24"/>
          <w:highlight w:val="none"/>
          <w:u w:val="single"/>
          <w:lang w:val="zh-CN"/>
        </w:rPr>
        <w:t>投标报价得分=(评标基准价／投标报价)×</w:t>
      </w:r>
      <w:r>
        <w:rPr>
          <w:rFonts w:hint="eastAsia" w:ascii="宋体" w:hAnsi="宋体" w:cs="宋体"/>
          <w:color w:val="auto"/>
          <w:sz w:val="24"/>
          <w:highlight w:val="none"/>
          <w:u w:val="single"/>
          <w:lang w:val="en-US" w:eastAsia="zh-CN"/>
        </w:rPr>
        <w:t>60</w:t>
      </w:r>
      <w:r>
        <w:rPr>
          <w:rFonts w:hint="eastAsia" w:ascii="宋体" w:hAnsi="宋体" w:cs="宋体"/>
          <w:color w:val="auto"/>
          <w:sz w:val="24"/>
          <w:highlight w:val="none"/>
          <w:u w:val="single"/>
          <w:lang w:val="zh-CN"/>
        </w:rPr>
        <w:t>%×100 。</w:t>
      </w:r>
    </w:p>
    <w:p>
      <w:pPr>
        <w:spacing w:line="360" w:lineRule="auto"/>
        <w:ind w:firstLine="480" w:firstLineChars="200"/>
        <w:rPr>
          <w:rFonts w:ascii="宋体" w:hAnsi="宋体" w:cs="宋体"/>
          <w:color w:val="auto"/>
          <w:sz w:val="24"/>
          <w:highlight w:val="none"/>
          <w:lang w:val="zh-CN"/>
        </w:rPr>
      </w:pPr>
      <w:r>
        <w:rPr>
          <w:rFonts w:hint="eastAsia" w:ascii="宋体" w:hAnsi="宋体" w:cs="宋体"/>
          <w:color w:val="auto"/>
          <w:sz w:val="24"/>
          <w:highlight w:val="none"/>
          <w:lang w:val="zh-CN"/>
        </w:rPr>
        <w:t>（四）投标人综合得分＝资格及商务技术文件得分＋投标报价得分。</w:t>
      </w:r>
    </w:p>
    <w:p>
      <w:pPr>
        <w:spacing w:line="360" w:lineRule="auto"/>
        <w:ind w:firstLine="480" w:firstLineChars="200"/>
        <w:rPr>
          <w:rFonts w:hint="eastAsia" w:ascii="宋体" w:hAnsi="宋体" w:cs="宋体"/>
          <w:color w:val="auto"/>
          <w:sz w:val="24"/>
          <w:highlight w:val="none"/>
          <w:lang w:val="zh-CN"/>
        </w:rPr>
      </w:pPr>
      <w:r>
        <w:rPr>
          <w:rFonts w:hint="eastAsia" w:ascii="宋体" w:hAnsi="宋体" w:cs="宋体"/>
          <w:color w:val="auto"/>
          <w:sz w:val="24"/>
          <w:highlight w:val="none"/>
          <w:lang w:val="zh-CN"/>
        </w:rPr>
        <w:t>注：得分以系统计算为准，保留2位小数。</w:t>
      </w:r>
    </w:p>
    <w:p>
      <w:pPr>
        <w:spacing w:line="360" w:lineRule="auto"/>
        <w:ind w:firstLine="480" w:firstLineChars="200"/>
        <w:rPr>
          <w:rFonts w:hint="eastAsia" w:ascii="宋体" w:hAnsi="宋体" w:cs="宋体"/>
          <w:color w:val="auto"/>
          <w:sz w:val="24"/>
          <w:highlight w:val="none"/>
          <w:lang w:val="zh-CN"/>
        </w:rPr>
      </w:pPr>
      <w:r>
        <w:rPr>
          <w:rFonts w:hint="eastAsia" w:ascii="宋体" w:hAnsi="宋体" w:cs="宋体"/>
          <w:color w:val="auto"/>
          <w:sz w:val="24"/>
          <w:highlight w:val="none"/>
          <w:lang w:val="zh-CN"/>
        </w:rPr>
        <w:t>三、在最大限度地满足招标文件实质性要求前提下，评标委员会按照招标文件中规定的各项因素进行综合评审后，以评标总得分最高的投标人为中标候选人。</w:t>
      </w:r>
    </w:p>
    <w:p>
      <w:pPr>
        <w:spacing w:line="360" w:lineRule="auto"/>
        <w:ind w:firstLine="480" w:firstLineChars="200"/>
        <w:rPr>
          <w:rFonts w:hint="eastAsia" w:ascii="宋体" w:hAnsi="宋体" w:cs="宋体"/>
          <w:color w:val="auto"/>
          <w:sz w:val="24"/>
          <w:highlight w:val="none"/>
          <w:lang w:val="zh-CN"/>
        </w:rPr>
      </w:pPr>
      <w:r>
        <w:rPr>
          <w:rFonts w:hint="eastAsia" w:ascii="宋体" w:hAnsi="宋体" w:cs="宋体"/>
          <w:color w:val="auto"/>
          <w:sz w:val="24"/>
          <w:highlight w:val="none"/>
          <w:lang w:val="zh-CN"/>
        </w:rPr>
        <w:t>四、如综合得分相同，投标报价低者为先。</w:t>
      </w:r>
    </w:p>
    <w:p>
      <w:pPr>
        <w:spacing w:line="360" w:lineRule="auto"/>
        <w:ind w:firstLine="480" w:firstLineChars="200"/>
        <w:rPr>
          <w:rFonts w:hint="eastAsia" w:ascii="宋体" w:hAnsi="宋体" w:cs="宋体"/>
          <w:color w:val="auto"/>
          <w:sz w:val="24"/>
          <w:highlight w:val="none"/>
          <w:lang w:val="zh-CN"/>
        </w:rPr>
      </w:pPr>
      <w:r>
        <w:rPr>
          <w:rFonts w:hint="eastAsia" w:ascii="宋体" w:hAnsi="宋体" w:cs="宋体"/>
          <w:color w:val="auto"/>
          <w:sz w:val="24"/>
          <w:highlight w:val="none"/>
          <w:lang w:val="zh-CN"/>
        </w:rPr>
        <w:t>五、本次评分具体分值细化条款如下表：</w:t>
      </w:r>
    </w:p>
    <w:tbl>
      <w:tblPr>
        <w:tblStyle w:val="9"/>
        <w:tblW w:w="92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7"/>
        <w:gridCol w:w="1530"/>
        <w:gridCol w:w="5970"/>
        <w:gridCol w:w="10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blHeader/>
          <w:jc w:val="center"/>
        </w:trPr>
        <w:tc>
          <w:tcPr>
            <w:tcW w:w="707" w:type="dxa"/>
            <w:noWrap w:val="0"/>
            <w:vAlign w:val="center"/>
          </w:tcPr>
          <w:p>
            <w:pPr>
              <w:keepNext w:val="0"/>
              <w:keepLines w:val="0"/>
              <w:pageBreakBefore w:val="0"/>
              <w:widowControl w:val="0"/>
              <w:kinsoku/>
              <w:wordWrap/>
              <w:overflowPunct/>
              <w:topLinePunct w:val="0"/>
              <w:autoSpaceDE/>
              <w:autoSpaceDN/>
              <w:bidi w:val="0"/>
              <w:snapToGrid/>
              <w:spacing w:line="48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序号</w:t>
            </w:r>
          </w:p>
        </w:tc>
        <w:tc>
          <w:tcPr>
            <w:tcW w:w="1530" w:type="dxa"/>
            <w:noWrap w:val="0"/>
            <w:vAlign w:val="center"/>
          </w:tcPr>
          <w:p>
            <w:pPr>
              <w:keepNext w:val="0"/>
              <w:keepLines w:val="0"/>
              <w:pageBreakBefore w:val="0"/>
              <w:widowControl w:val="0"/>
              <w:kinsoku/>
              <w:wordWrap/>
              <w:overflowPunct/>
              <w:topLinePunct w:val="0"/>
              <w:autoSpaceDE/>
              <w:autoSpaceDN/>
              <w:bidi w:val="0"/>
              <w:snapToGrid/>
              <w:spacing w:line="48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评分内容</w:t>
            </w:r>
          </w:p>
        </w:tc>
        <w:tc>
          <w:tcPr>
            <w:tcW w:w="5970" w:type="dxa"/>
            <w:noWrap w:val="0"/>
            <w:vAlign w:val="center"/>
          </w:tcPr>
          <w:p>
            <w:pPr>
              <w:keepNext w:val="0"/>
              <w:keepLines w:val="0"/>
              <w:pageBreakBefore w:val="0"/>
              <w:widowControl w:val="0"/>
              <w:kinsoku/>
              <w:wordWrap/>
              <w:overflowPunct/>
              <w:topLinePunct w:val="0"/>
              <w:autoSpaceDE/>
              <w:autoSpaceDN/>
              <w:bidi w:val="0"/>
              <w:snapToGrid/>
              <w:spacing w:line="48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评分细则</w:t>
            </w:r>
          </w:p>
        </w:tc>
        <w:tc>
          <w:tcPr>
            <w:tcW w:w="1030" w:type="dxa"/>
            <w:noWrap w:val="0"/>
            <w:vAlign w:val="center"/>
          </w:tcPr>
          <w:p>
            <w:pPr>
              <w:keepNext w:val="0"/>
              <w:keepLines w:val="0"/>
              <w:pageBreakBefore w:val="0"/>
              <w:widowControl w:val="0"/>
              <w:kinsoku/>
              <w:wordWrap/>
              <w:overflowPunct/>
              <w:topLinePunct w:val="0"/>
              <w:autoSpaceDE/>
              <w:autoSpaceDN/>
              <w:bidi w:val="0"/>
              <w:snapToGrid/>
              <w:spacing w:line="48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jc w:val="center"/>
        </w:trPr>
        <w:tc>
          <w:tcPr>
            <w:tcW w:w="707" w:type="dxa"/>
            <w:noWrap w:val="0"/>
            <w:vAlign w:val="center"/>
          </w:tcPr>
          <w:p>
            <w:pPr>
              <w:keepNext w:val="0"/>
              <w:keepLines w:val="0"/>
              <w:pageBreakBefore w:val="0"/>
              <w:widowControl w:val="0"/>
              <w:kinsoku/>
              <w:wordWrap/>
              <w:overflowPunct/>
              <w:topLinePunct w:val="0"/>
              <w:autoSpaceDE/>
              <w:autoSpaceDN/>
              <w:bidi w:val="0"/>
              <w:snapToGrid/>
              <w:spacing w:line="480" w:lineRule="exact"/>
              <w:jc w:val="center"/>
              <w:textAlignment w:val="auto"/>
              <w:rPr>
                <w:rFonts w:hint="default"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1</w:t>
            </w:r>
          </w:p>
        </w:tc>
        <w:tc>
          <w:tcPr>
            <w:tcW w:w="153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leftChars="0"/>
              <w:jc w:val="center"/>
              <w:textAlignment w:val="auto"/>
              <w:rPr>
                <w:rFonts w:hint="eastAsia" w:ascii="宋体" w:hAnsi="宋体" w:eastAsia="宋体" w:cs="宋体"/>
                <w:color w:val="auto"/>
                <w:sz w:val="21"/>
                <w:szCs w:val="21"/>
                <w:highlight w:val="none"/>
              </w:rPr>
            </w:pPr>
            <w:r>
              <w:rPr>
                <w:rFonts w:hint="eastAsia" w:ascii="宋体" w:hAnsi="宋体" w:eastAsia="宋体"/>
                <w:color w:val="auto"/>
                <w:sz w:val="21"/>
                <w:szCs w:val="21"/>
                <w:highlight w:val="none"/>
              </w:rPr>
              <w:t>品牌分</w:t>
            </w:r>
          </w:p>
        </w:tc>
        <w:tc>
          <w:tcPr>
            <w:tcW w:w="597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leftChars="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olor w:val="auto"/>
                <w:sz w:val="21"/>
                <w:szCs w:val="21"/>
                <w:highlight w:val="none"/>
              </w:rPr>
              <w:t>根据投标产品的品牌知名度、成熟度、获</w:t>
            </w:r>
            <w:r>
              <w:rPr>
                <w:rFonts w:ascii="宋体" w:hAnsi="宋体" w:eastAsia="宋体"/>
                <w:color w:val="auto"/>
                <w:sz w:val="21"/>
                <w:szCs w:val="21"/>
                <w:highlight w:val="none"/>
              </w:rPr>
              <w:t>奖</w:t>
            </w:r>
            <w:r>
              <w:rPr>
                <w:rFonts w:hint="eastAsia" w:ascii="宋体" w:hAnsi="宋体" w:eastAsia="宋体"/>
                <w:color w:val="auto"/>
                <w:sz w:val="21"/>
                <w:szCs w:val="21"/>
                <w:highlight w:val="none"/>
              </w:rPr>
              <w:t>荣誉等情</w:t>
            </w:r>
            <w:r>
              <w:rPr>
                <w:rFonts w:ascii="宋体" w:hAnsi="宋体" w:eastAsia="宋体"/>
                <w:color w:val="auto"/>
                <w:sz w:val="21"/>
                <w:szCs w:val="21"/>
                <w:highlight w:val="none"/>
              </w:rPr>
              <w:t>况</w:t>
            </w:r>
            <w:r>
              <w:rPr>
                <w:rFonts w:hint="eastAsia" w:ascii="宋体" w:hAnsi="宋体" w:eastAsia="宋体"/>
                <w:color w:val="auto"/>
                <w:sz w:val="21"/>
                <w:szCs w:val="21"/>
                <w:highlight w:val="none"/>
              </w:rPr>
              <w:t>。由评标委员会综合比较后酌情给分。</w:t>
            </w:r>
          </w:p>
        </w:tc>
        <w:tc>
          <w:tcPr>
            <w:tcW w:w="103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leftChars="0" w:right="3" w:rightChars="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07" w:type="dxa"/>
            <w:noWrap w:val="0"/>
            <w:vAlign w:val="center"/>
          </w:tcPr>
          <w:p>
            <w:pPr>
              <w:keepNext w:val="0"/>
              <w:keepLines w:val="0"/>
              <w:pageBreakBefore w:val="0"/>
              <w:widowControl w:val="0"/>
              <w:kinsoku/>
              <w:wordWrap/>
              <w:overflowPunct/>
              <w:topLinePunct w:val="0"/>
              <w:autoSpaceDE/>
              <w:autoSpaceDN/>
              <w:bidi w:val="0"/>
              <w:snapToGrid/>
              <w:spacing w:line="480" w:lineRule="exact"/>
              <w:jc w:val="center"/>
              <w:textAlignment w:val="auto"/>
              <w:rPr>
                <w:rFonts w:hint="default"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lang w:val="en-US" w:eastAsia="zh-CN"/>
              </w:rPr>
              <w:t>2</w:t>
            </w:r>
          </w:p>
        </w:tc>
        <w:tc>
          <w:tcPr>
            <w:tcW w:w="153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leftChars="0"/>
              <w:jc w:val="center"/>
              <w:textAlignment w:val="auto"/>
              <w:rPr>
                <w:rFonts w:hint="eastAsia" w:ascii="宋体" w:hAnsi="宋体" w:eastAsia="宋体" w:cs="宋体"/>
                <w:color w:val="auto"/>
                <w:sz w:val="21"/>
                <w:szCs w:val="21"/>
                <w:highlight w:val="none"/>
              </w:rPr>
            </w:pPr>
            <w:r>
              <w:rPr>
                <w:rFonts w:hint="eastAsia" w:ascii="宋体" w:hAnsi="宋体" w:eastAsia="宋体"/>
                <w:color w:val="auto"/>
                <w:sz w:val="21"/>
                <w:szCs w:val="21"/>
                <w:highlight w:val="none"/>
              </w:rPr>
              <w:t>投标人实力</w:t>
            </w:r>
          </w:p>
        </w:tc>
        <w:tc>
          <w:tcPr>
            <w:tcW w:w="597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leftChars="0"/>
              <w:jc w:val="left"/>
              <w:textAlignment w:val="auto"/>
              <w:rPr>
                <w:rFonts w:hint="eastAsia" w:ascii="宋体" w:hAnsi="宋体" w:eastAsia="宋体" w:cs="宋体"/>
                <w:color w:val="auto"/>
                <w:sz w:val="21"/>
                <w:szCs w:val="21"/>
                <w:highlight w:val="none"/>
                <w:lang w:eastAsia="zh-CN"/>
              </w:rPr>
            </w:pPr>
            <w:r>
              <w:rPr>
                <w:rFonts w:hint="eastAsia" w:ascii="宋体" w:hAnsi="宋体" w:eastAsia="宋体"/>
                <w:color w:val="auto"/>
                <w:sz w:val="21"/>
                <w:szCs w:val="21"/>
                <w:highlight w:val="none"/>
              </w:rPr>
              <w:t>根据投标人的企业信誉、经</w:t>
            </w:r>
            <w:r>
              <w:rPr>
                <w:rFonts w:ascii="宋体" w:hAnsi="宋体" w:eastAsia="宋体"/>
                <w:color w:val="auto"/>
                <w:sz w:val="21"/>
                <w:szCs w:val="21"/>
                <w:highlight w:val="none"/>
              </w:rPr>
              <w:t>营</w:t>
            </w:r>
            <w:r>
              <w:rPr>
                <w:rFonts w:hint="eastAsia" w:ascii="宋体" w:hAnsi="宋体" w:eastAsia="宋体"/>
                <w:color w:val="auto"/>
                <w:sz w:val="21"/>
                <w:szCs w:val="21"/>
                <w:highlight w:val="none"/>
              </w:rPr>
              <w:t>情</w:t>
            </w:r>
            <w:r>
              <w:rPr>
                <w:rFonts w:ascii="宋体" w:hAnsi="宋体" w:eastAsia="宋体"/>
                <w:color w:val="auto"/>
                <w:sz w:val="21"/>
                <w:szCs w:val="21"/>
                <w:highlight w:val="none"/>
              </w:rPr>
              <w:t>况</w:t>
            </w:r>
            <w:r>
              <w:rPr>
                <w:rFonts w:hint="eastAsia" w:ascii="宋体" w:hAnsi="宋体" w:eastAsia="宋体"/>
                <w:color w:val="auto"/>
                <w:sz w:val="21"/>
                <w:szCs w:val="21"/>
                <w:highlight w:val="none"/>
              </w:rPr>
              <w:t>、履约能力、相关技术力量及人力资源等总体情况进行横</w:t>
            </w:r>
            <w:r>
              <w:rPr>
                <w:rFonts w:ascii="宋体" w:hAnsi="宋体" w:eastAsia="宋体"/>
                <w:color w:val="auto"/>
                <w:sz w:val="21"/>
                <w:szCs w:val="21"/>
                <w:highlight w:val="none"/>
              </w:rPr>
              <w:t>向对比</w:t>
            </w:r>
            <w:r>
              <w:rPr>
                <w:rFonts w:hint="eastAsia" w:ascii="宋体" w:hAnsi="宋体" w:eastAsia="宋体"/>
                <w:color w:val="auto"/>
                <w:sz w:val="21"/>
                <w:szCs w:val="21"/>
                <w:highlight w:val="none"/>
              </w:rPr>
              <w:t>。由评标委员会综合比较后酌情给分</w:t>
            </w:r>
          </w:p>
        </w:tc>
        <w:tc>
          <w:tcPr>
            <w:tcW w:w="103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leftChars="0" w:right="3" w:rightChars="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07" w:type="dxa"/>
            <w:noWrap w:val="0"/>
            <w:vAlign w:val="center"/>
          </w:tcPr>
          <w:p>
            <w:pPr>
              <w:keepNext w:val="0"/>
              <w:keepLines w:val="0"/>
              <w:pageBreakBefore w:val="0"/>
              <w:widowControl w:val="0"/>
              <w:kinsoku/>
              <w:wordWrap/>
              <w:overflowPunct/>
              <w:topLinePunct w:val="0"/>
              <w:autoSpaceDE/>
              <w:autoSpaceDN/>
              <w:bidi w:val="0"/>
              <w:snapToGrid/>
              <w:spacing w:line="480" w:lineRule="exact"/>
              <w:jc w:val="center"/>
              <w:textAlignment w:val="auto"/>
              <w:rPr>
                <w:rFonts w:hint="eastAsia" w:ascii="宋体" w:hAnsi="宋体" w:eastAsia="宋体" w:cs="宋体"/>
                <w:b/>
                <w:color w:val="auto"/>
                <w:kern w:val="2"/>
                <w:sz w:val="21"/>
                <w:szCs w:val="21"/>
                <w:highlight w:val="none"/>
                <w:lang w:val="en-US" w:eastAsia="zh-CN" w:bidi="ar-SA"/>
              </w:rPr>
            </w:pPr>
            <w:r>
              <w:rPr>
                <w:rFonts w:hint="eastAsia" w:ascii="宋体" w:hAnsi="宋体" w:eastAsia="宋体" w:cs="宋体"/>
                <w:b/>
                <w:color w:val="auto"/>
                <w:sz w:val="21"/>
                <w:szCs w:val="21"/>
                <w:highlight w:val="none"/>
                <w:lang w:val="en-US" w:eastAsia="zh-CN"/>
              </w:rPr>
              <w:t>3</w:t>
            </w:r>
          </w:p>
        </w:tc>
        <w:tc>
          <w:tcPr>
            <w:tcW w:w="153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left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投标人业绩</w:t>
            </w:r>
          </w:p>
        </w:tc>
        <w:tc>
          <w:tcPr>
            <w:tcW w:w="597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left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投标人业绩证明：根据20</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lang w:eastAsia="zh-CN"/>
              </w:rPr>
              <w:t>年1月1日以来</w:t>
            </w:r>
            <w:r>
              <w:rPr>
                <w:rFonts w:hint="eastAsia" w:ascii="宋体" w:hAnsi="宋体" w:eastAsia="宋体" w:cs="宋体"/>
                <w:color w:val="auto"/>
                <w:szCs w:val="21"/>
                <w:highlight w:val="none"/>
              </w:rPr>
              <w:t>音视频集成类似</w:t>
            </w:r>
            <w:r>
              <w:rPr>
                <w:rFonts w:hint="eastAsia"/>
                <w:color w:val="auto"/>
                <w:highlight w:val="none"/>
              </w:rPr>
              <w:t>项目</w:t>
            </w:r>
            <w:r>
              <w:rPr>
                <w:rFonts w:hint="eastAsia" w:ascii="宋体" w:hAnsi="宋体" w:eastAsia="宋体" w:cs="宋体"/>
                <w:color w:val="auto"/>
                <w:sz w:val="21"/>
                <w:szCs w:val="21"/>
                <w:highlight w:val="none"/>
                <w:lang w:eastAsia="zh-CN"/>
              </w:rPr>
              <w:t>（合同单价</w:t>
            </w:r>
            <w:r>
              <w:rPr>
                <w:rFonts w:hint="eastAsia" w:ascii="宋体" w:hAnsi="宋体" w:eastAsia="宋体" w:cs="宋体"/>
                <w:color w:val="auto"/>
                <w:sz w:val="21"/>
                <w:szCs w:val="21"/>
                <w:highlight w:val="none"/>
                <w:lang w:val="en-US" w:eastAsia="zh-CN"/>
              </w:rPr>
              <w:t>20万以上且含LED内容</w:t>
            </w:r>
            <w:r>
              <w:rPr>
                <w:rFonts w:hint="eastAsia" w:ascii="宋体" w:hAnsi="宋体" w:eastAsia="宋体" w:cs="宋体"/>
                <w:color w:val="auto"/>
                <w:sz w:val="21"/>
                <w:szCs w:val="21"/>
                <w:highlight w:val="none"/>
                <w:lang w:eastAsia="zh-CN"/>
              </w:rPr>
              <w:t>），承包类似项目业绩打分，每一份得1分，最高</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lang w:eastAsia="zh-CN"/>
              </w:rPr>
              <w:t>分。以采购合同和中标通知书，且原件的复印件须装订在投标文件中，</w:t>
            </w:r>
            <w:r>
              <w:rPr>
                <w:rFonts w:hint="eastAsia" w:ascii="宋体" w:hAnsi="宋体" w:eastAsia="宋体" w:cs="宋体"/>
                <w:color w:val="auto"/>
                <w:sz w:val="21"/>
                <w:szCs w:val="21"/>
                <w:highlight w:val="none"/>
                <w:lang w:val="en-US" w:eastAsia="zh-CN"/>
              </w:rPr>
              <w:t>并</w:t>
            </w:r>
            <w:r>
              <w:rPr>
                <w:rFonts w:hint="eastAsia" w:ascii="宋体" w:hAnsi="宋体" w:eastAsia="宋体" w:cs="宋体"/>
                <w:color w:val="auto"/>
                <w:sz w:val="21"/>
                <w:szCs w:val="21"/>
                <w:highlight w:val="none"/>
                <w:lang w:eastAsia="zh-CN"/>
              </w:rPr>
              <w:t>提供原件</w:t>
            </w:r>
            <w:r>
              <w:rPr>
                <w:rFonts w:hint="eastAsia" w:ascii="宋体" w:hAnsi="宋体" w:eastAsia="宋体" w:cs="宋体"/>
                <w:color w:val="auto"/>
                <w:sz w:val="21"/>
                <w:szCs w:val="21"/>
                <w:highlight w:val="none"/>
                <w:lang w:val="en-US" w:eastAsia="zh-CN"/>
              </w:rPr>
              <w:t>备查</w:t>
            </w:r>
            <w:r>
              <w:rPr>
                <w:rFonts w:hint="eastAsia" w:ascii="宋体" w:hAnsi="宋体" w:eastAsia="宋体" w:cs="宋体"/>
                <w:color w:val="auto"/>
                <w:sz w:val="21"/>
                <w:szCs w:val="21"/>
                <w:highlight w:val="none"/>
                <w:lang w:eastAsia="zh-CN"/>
              </w:rPr>
              <w:t>，否则不予认可。</w:t>
            </w:r>
          </w:p>
        </w:tc>
        <w:tc>
          <w:tcPr>
            <w:tcW w:w="103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leftChars="0" w:right="3" w:rightChars="0"/>
              <w:jc w:val="center"/>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0" w:hRule="atLeast"/>
          <w:jc w:val="center"/>
        </w:trPr>
        <w:tc>
          <w:tcPr>
            <w:tcW w:w="707"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315" w:leftChars="0" w:right="6" w:rightChars="0" w:hanging="315" w:hangingChars="15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4</w:t>
            </w:r>
          </w:p>
        </w:tc>
        <w:tc>
          <w:tcPr>
            <w:tcW w:w="1530" w:type="dxa"/>
            <w:noWrap w:val="0"/>
            <w:vAlign w:val="center"/>
          </w:tcPr>
          <w:p>
            <w:pPr>
              <w:keepNext w:val="0"/>
              <w:keepLines w:val="0"/>
              <w:pageBreakBefore w:val="0"/>
              <w:widowControl w:val="0"/>
              <w:kinsoku/>
              <w:wordWrap/>
              <w:overflowPunct/>
              <w:topLinePunct w:val="0"/>
              <w:autoSpaceDE/>
              <w:autoSpaceDN/>
              <w:bidi w:val="0"/>
              <w:adjustRightInd w:val="0"/>
              <w:snapToGrid/>
              <w:spacing w:line="480" w:lineRule="exact"/>
              <w:jc w:val="left"/>
              <w:textAlignment w:val="auto"/>
              <w:rPr>
                <w:rFonts w:hint="eastAsia" w:ascii="宋体" w:hAnsi="宋体" w:eastAsia="宋体" w:cs="宋体"/>
                <w:color w:val="auto"/>
                <w:sz w:val="21"/>
                <w:szCs w:val="21"/>
                <w:highlight w:val="none"/>
                <w:lang w:val="zh-CN" w:eastAsia="zh-CN"/>
              </w:rPr>
            </w:pPr>
            <w:r>
              <w:rPr>
                <w:rFonts w:hint="eastAsia" w:ascii="宋体" w:hAnsi="宋体" w:eastAsia="宋体" w:cs="宋体"/>
                <w:color w:val="auto"/>
                <w:sz w:val="21"/>
                <w:szCs w:val="21"/>
                <w:highlight w:val="none"/>
              </w:rPr>
              <w:t>投标产品性能及技术指标</w:t>
            </w:r>
          </w:p>
        </w:tc>
        <w:tc>
          <w:tcPr>
            <w:tcW w:w="5970" w:type="dxa"/>
            <w:noWrap w:val="0"/>
            <w:vAlign w:val="center"/>
          </w:tcPr>
          <w:p>
            <w:pPr>
              <w:rPr>
                <w:rFonts w:hint="default" w:ascii="宋体" w:hAnsi="宋体" w:eastAsia="宋体"/>
                <w:color w:val="auto"/>
                <w:szCs w:val="21"/>
                <w:highlight w:val="none"/>
                <w:lang w:val="en-US" w:eastAsia="zh-CN"/>
              </w:rPr>
            </w:pPr>
            <w:r>
              <w:rPr>
                <w:rFonts w:hint="eastAsia" w:ascii="宋体" w:hAnsi="宋体" w:eastAsia="宋体"/>
                <w:color w:val="auto"/>
                <w:szCs w:val="21"/>
                <w:highlight w:val="none"/>
              </w:rPr>
              <w:t>投标方室内LED全彩采用间距</w:t>
            </w:r>
            <w:r>
              <w:rPr>
                <w:rFonts w:hint="eastAsia" w:ascii="宋体" w:hAnsi="宋体" w:eastAsia="宋体" w:cs="宋体"/>
                <w:color w:val="auto"/>
                <w:szCs w:val="21"/>
                <w:highlight w:val="none"/>
              </w:rPr>
              <w:t>≦</w:t>
            </w:r>
            <w:r>
              <w:rPr>
                <w:rFonts w:hint="eastAsia" w:ascii="宋体" w:hAnsi="宋体" w:eastAsia="宋体"/>
                <w:color w:val="auto"/>
                <w:szCs w:val="21"/>
                <w:highlight w:val="none"/>
                <w:lang w:val="en-US" w:eastAsia="zh-CN"/>
              </w:rPr>
              <w:t>1.86</w:t>
            </w:r>
          </w:p>
          <w:p>
            <w:pPr>
              <w:rPr>
                <w:rFonts w:hint="eastAsia" w:ascii="宋体" w:hAnsi="宋体" w:eastAsia="宋体" w:cs="宋体"/>
                <w:color w:val="auto"/>
                <w:sz w:val="21"/>
                <w:szCs w:val="21"/>
                <w:highlight w:val="none"/>
                <w:lang w:val="zh-CN" w:eastAsia="zh-CN"/>
              </w:rPr>
            </w:pPr>
            <w:r>
              <w:rPr>
                <w:rFonts w:hint="eastAsia" w:ascii="宋体" w:hAnsi="宋体" w:eastAsia="宋体"/>
                <w:color w:val="auto"/>
                <w:szCs w:val="21"/>
                <w:highlight w:val="none"/>
              </w:rPr>
              <w:t>LED、话筒及其它设备的整体性能、技术参数、技术规格、技术规范和对招标文件技术要求的响应程度，全部满足技术参数的得1</w:t>
            </w:r>
            <w:r>
              <w:rPr>
                <w:rFonts w:hint="eastAsia" w:ascii="宋体" w:hAnsi="宋体" w:eastAsia="宋体"/>
                <w:color w:val="auto"/>
                <w:szCs w:val="21"/>
                <w:highlight w:val="none"/>
                <w:lang w:val="en-US" w:eastAsia="zh-CN"/>
              </w:rPr>
              <w:t>3</w:t>
            </w:r>
            <w:r>
              <w:rPr>
                <w:rFonts w:hint="eastAsia" w:ascii="宋体" w:hAnsi="宋体" w:eastAsia="宋体"/>
                <w:color w:val="auto"/>
                <w:szCs w:val="21"/>
                <w:highlight w:val="none"/>
              </w:rPr>
              <w:t>分；每一项参数不满足要求，减</w:t>
            </w:r>
            <w:r>
              <w:rPr>
                <w:rFonts w:ascii="宋体" w:hAnsi="宋体" w:eastAsia="宋体"/>
                <w:color w:val="auto"/>
                <w:szCs w:val="21"/>
                <w:highlight w:val="none"/>
              </w:rPr>
              <w:t>1</w:t>
            </w:r>
            <w:r>
              <w:rPr>
                <w:rFonts w:hint="eastAsia" w:ascii="宋体" w:hAnsi="宋体" w:eastAsia="宋体"/>
                <w:color w:val="auto"/>
                <w:szCs w:val="21"/>
                <w:highlight w:val="none"/>
              </w:rPr>
              <w:t>分，直到减完。</w:t>
            </w:r>
          </w:p>
        </w:tc>
        <w:tc>
          <w:tcPr>
            <w:tcW w:w="103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right="3"/>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07"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315" w:leftChars="0" w:right="6" w:rightChars="0" w:hanging="315" w:hangingChars="15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5</w:t>
            </w:r>
          </w:p>
        </w:tc>
        <w:tc>
          <w:tcPr>
            <w:tcW w:w="1530" w:type="dxa"/>
            <w:vMerge w:val="restart"/>
            <w:noWrap w:val="0"/>
            <w:vAlign w:val="center"/>
          </w:tcPr>
          <w:p>
            <w:pPr>
              <w:keepNext w:val="0"/>
              <w:keepLines w:val="0"/>
              <w:pageBreakBefore w:val="0"/>
              <w:widowControl w:val="0"/>
              <w:kinsoku/>
              <w:wordWrap/>
              <w:overflowPunct/>
              <w:topLinePunct w:val="0"/>
              <w:autoSpaceDE/>
              <w:autoSpaceDN/>
              <w:bidi w:val="0"/>
              <w:snapToGrid/>
              <w:spacing w:line="480" w:lineRule="exact"/>
              <w:ind w:left="-50" w:leftChars="0"/>
              <w:jc w:val="center"/>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kern w:val="2"/>
                <w:sz w:val="21"/>
                <w:szCs w:val="21"/>
                <w:highlight w:val="none"/>
                <w:lang w:val="en-US" w:eastAsia="zh-CN" w:bidi="ar-SA"/>
              </w:rPr>
              <w:t>技术服务方案</w:t>
            </w:r>
          </w:p>
        </w:tc>
        <w:tc>
          <w:tcPr>
            <w:tcW w:w="597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left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供应商对项目现状及需求的理解情况，对项目现状和需求描述的全面性、准确性、针对性，项目功能设计完备、对系统各组成部分等功能进行准确的分析，对项目重点、难点的把握，解决方案及合理化建议。</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0-2分</w:t>
            </w:r>
            <w:r>
              <w:rPr>
                <w:rFonts w:hint="eastAsia" w:ascii="宋体" w:hAnsi="宋体" w:eastAsia="宋体" w:cs="宋体"/>
                <w:color w:val="auto"/>
                <w:sz w:val="21"/>
                <w:szCs w:val="21"/>
                <w:highlight w:val="none"/>
                <w:lang w:eastAsia="zh-CN"/>
              </w:rPr>
              <w:t>）</w:t>
            </w:r>
          </w:p>
        </w:tc>
        <w:tc>
          <w:tcPr>
            <w:tcW w:w="103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right="3"/>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707"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315" w:leftChars="0" w:right="6" w:rightChars="0" w:hanging="315" w:hangingChars="15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6</w:t>
            </w:r>
          </w:p>
        </w:tc>
        <w:tc>
          <w:tcPr>
            <w:tcW w:w="1530" w:type="dxa"/>
            <w:vMerge w:val="continue"/>
            <w:noWrap w:val="0"/>
            <w:vAlign w:val="center"/>
          </w:tcPr>
          <w:p>
            <w:pPr>
              <w:keepNext w:val="0"/>
              <w:keepLines w:val="0"/>
              <w:pageBreakBefore w:val="0"/>
              <w:widowControl w:val="0"/>
              <w:kinsoku/>
              <w:wordWrap/>
              <w:overflowPunct/>
              <w:topLinePunct w:val="0"/>
              <w:autoSpaceDE/>
              <w:autoSpaceDN/>
              <w:bidi w:val="0"/>
              <w:snapToGrid/>
              <w:spacing w:line="480" w:lineRule="exact"/>
              <w:ind w:left="-50"/>
              <w:jc w:val="center"/>
              <w:textAlignment w:val="auto"/>
              <w:rPr>
                <w:rFonts w:hint="eastAsia" w:ascii="宋体" w:hAnsi="宋体" w:eastAsia="宋体" w:cs="宋体"/>
                <w:color w:val="auto"/>
                <w:sz w:val="21"/>
                <w:szCs w:val="21"/>
                <w:highlight w:val="none"/>
              </w:rPr>
            </w:pPr>
          </w:p>
        </w:tc>
        <w:tc>
          <w:tcPr>
            <w:tcW w:w="597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leftChars="0"/>
              <w:jc w:val="lef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eastAsia="zh-CN"/>
              </w:rPr>
              <w:t>根据投标人的</w:t>
            </w:r>
            <w:r>
              <w:rPr>
                <w:rFonts w:hint="eastAsia" w:ascii="宋体" w:hAnsi="宋体" w:eastAsia="宋体" w:cs="宋体"/>
                <w:color w:val="auto"/>
                <w:sz w:val="21"/>
                <w:szCs w:val="21"/>
                <w:highlight w:val="none"/>
              </w:rPr>
              <w:t>安装、调试及验收方案和措施</w:t>
            </w:r>
            <w:r>
              <w:rPr>
                <w:rFonts w:hint="eastAsia" w:ascii="宋体" w:hAnsi="宋体" w:eastAsia="宋体" w:cs="宋体"/>
                <w:color w:val="auto"/>
                <w:sz w:val="21"/>
                <w:szCs w:val="21"/>
                <w:highlight w:val="none"/>
                <w:lang w:eastAsia="zh-CN"/>
              </w:rPr>
              <w:t>等由评标委员会综合比较后酌情打分。（</w:t>
            </w:r>
            <w:r>
              <w:rPr>
                <w:rFonts w:hint="eastAsia" w:ascii="宋体" w:hAnsi="宋体" w:eastAsia="宋体" w:cs="宋体"/>
                <w:color w:val="auto"/>
                <w:sz w:val="21"/>
                <w:szCs w:val="21"/>
                <w:highlight w:val="none"/>
                <w:lang w:val="en-US" w:eastAsia="zh-CN"/>
              </w:rPr>
              <w:t>0-3分</w:t>
            </w:r>
            <w:r>
              <w:rPr>
                <w:rFonts w:hint="eastAsia" w:ascii="宋体" w:hAnsi="宋体" w:eastAsia="宋体" w:cs="宋体"/>
                <w:color w:val="auto"/>
                <w:sz w:val="21"/>
                <w:szCs w:val="21"/>
                <w:highlight w:val="none"/>
                <w:lang w:eastAsia="zh-CN"/>
              </w:rPr>
              <w:t>）</w:t>
            </w:r>
          </w:p>
        </w:tc>
        <w:tc>
          <w:tcPr>
            <w:tcW w:w="103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leftChars="0" w:right="3" w:right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707" w:type="dxa"/>
            <w:vMerge w:val="restart"/>
            <w:noWrap w:val="0"/>
            <w:vAlign w:val="center"/>
          </w:tcPr>
          <w:p>
            <w:pPr>
              <w:keepNext w:val="0"/>
              <w:keepLines w:val="0"/>
              <w:pageBreakBefore w:val="0"/>
              <w:widowControl w:val="0"/>
              <w:kinsoku/>
              <w:wordWrap/>
              <w:overflowPunct/>
              <w:topLinePunct w:val="0"/>
              <w:autoSpaceDE/>
              <w:autoSpaceDN/>
              <w:bidi w:val="0"/>
              <w:snapToGrid/>
              <w:spacing w:line="480" w:lineRule="exact"/>
              <w:ind w:left="360" w:right="6" w:hanging="315" w:hangingChars="15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530" w:type="dxa"/>
            <w:vMerge w:val="restart"/>
            <w:noWrap w:val="0"/>
            <w:vAlign w:val="center"/>
          </w:tcPr>
          <w:p>
            <w:pPr>
              <w:keepNext w:val="0"/>
              <w:keepLines w:val="0"/>
              <w:pageBreakBefore w:val="0"/>
              <w:widowControl w:val="0"/>
              <w:kinsoku/>
              <w:wordWrap/>
              <w:overflowPunct/>
              <w:topLinePunct w:val="0"/>
              <w:autoSpaceDE/>
              <w:autoSpaceDN/>
              <w:bidi w:val="0"/>
              <w:snapToGrid/>
              <w:spacing w:line="480" w:lineRule="exact"/>
              <w:ind w:left="-50"/>
              <w:jc w:val="center"/>
              <w:textAlignment w:val="auto"/>
              <w:rPr>
                <w:rFonts w:hint="eastAsia" w:ascii="宋体" w:hAnsi="宋体" w:eastAsia="宋体" w:cs="宋体"/>
                <w:color w:val="auto"/>
                <w:sz w:val="21"/>
                <w:szCs w:val="21"/>
                <w:highlight w:val="none"/>
              </w:rPr>
            </w:pPr>
            <w:r>
              <w:rPr>
                <w:rFonts w:hint="eastAsia" w:ascii="宋体" w:hAnsi="宋体" w:eastAsia="宋体" w:cs="宋体"/>
                <w:bCs/>
                <w:color w:val="auto"/>
                <w:kern w:val="28"/>
                <w:sz w:val="21"/>
                <w:szCs w:val="21"/>
                <w:highlight w:val="none"/>
              </w:rPr>
              <w:t>售后服务承诺及相关保证措施</w:t>
            </w:r>
          </w:p>
        </w:tc>
        <w:tc>
          <w:tcPr>
            <w:tcW w:w="5970" w:type="dxa"/>
            <w:noWrap w:val="0"/>
            <w:vAlign w:val="center"/>
          </w:tcPr>
          <w:p>
            <w:pPr>
              <w:keepNext w:val="0"/>
              <w:keepLines w:val="0"/>
              <w:pageBreakBefore w:val="0"/>
              <w:widowControl w:val="0"/>
              <w:kinsoku/>
              <w:wordWrap/>
              <w:overflowPunct/>
              <w:topLinePunct w:val="0"/>
              <w:autoSpaceDE/>
              <w:autoSpaceDN/>
              <w:bidi w:val="0"/>
              <w:snapToGrid/>
              <w:spacing w:line="480" w:lineRule="exact"/>
              <w:textAlignment w:val="auto"/>
              <w:rPr>
                <w:rFonts w:hint="eastAsia" w:ascii="宋体" w:hAnsi="宋体" w:eastAsia="宋体" w:cs="宋体"/>
                <w:bCs/>
                <w:color w:val="auto"/>
                <w:kern w:val="28"/>
                <w:sz w:val="21"/>
                <w:szCs w:val="21"/>
                <w:highlight w:val="none"/>
              </w:rPr>
            </w:pPr>
            <w:r>
              <w:rPr>
                <w:rFonts w:hint="eastAsia" w:ascii="宋体" w:hAnsi="宋体" w:eastAsia="宋体" w:cs="宋体"/>
                <w:bCs/>
                <w:color w:val="auto"/>
                <w:kern w:val="28"/>
                <w:sz w:val="21"/>
                <w:szCs w:val="21"/>
                <w:highlight w:val="none"/>
              </w:rPr>
              <w:t>针对本项目保修方案及具体措施</w:t>
            </w:r>
            <w:r>
              <w:rPr>
                <w:rFonts w:hint="eastAsia" w:ascii="宋体" w:hAnsi="宋体" w:eastAsia="宋体" w:cs="宋体"/>
                <w:bCs/>
                <w:color w:val="auto"/>
                <w:kern w:val="28"/>
                <w:sz w:val="21"/>
                <w:szCs w:val="21"/>
                <w:highlight w:val="none"/>
                <w:lang w:eastAsia="zh-CN"/>
              </w:rPr>
              <w:t>、</w:t>
            </w:r>
            <w:r>
              <w:rPr>
                <w:rFonts w:hint="eastAsia" w:ascii="宋体" w:hAnsi="宋体" w:eastAsia="宋体" w:cs="宋体"/>
                <w:bCs/>
                <w:color w:val="auto"/>
                <w:kern w:val="28"/>
                <w:sz w:val="21"/>
                <w:szCs w:val="21"/>
                <w:highlight w:val="none"/>
              </w:rPr>
              <w:t>服务响应的便利性描述及承诺</w:t>
            </w:r>
            <w:r>
              <w:rPr>
                <w:rFonts w:hint="eastAsia" w:ascii="宋体" w:hAnsi="宋体" w:eastAsia="宋体" w:cs="宋体"/>
                <w:color w:val="auto"/>
                <w:sz w:val="21"/>
                <w:szCs w:val="21"/>
                <w:highlight w:val="none"/>
              </w:rPr>
              <w:t>打分</w:t>
            </w:r>
            <w:r>
              <w:rPr>
                <w:rFonts w:hint="eastAsia" w:ascii="宋体" w:hAnsi="宋体" w:eastAsia="宋体" w:cs="宋体"/>
                <w:color w:val="auto"/>
                <w:kern w:val="0"/>
                <w:sz w:val="21"/>
                <w:szCs w:val="21"/>
                <w:highlight w:val="none"/>
              </w:rPr>
              <w:t>。保修方案内容详细、切实可行</w:t>
            </w:r>
            <w:r>
              <w:rPr>
                <w:rFonts w:hint="eastAsia" w:ascii="宋体" w:hAnsi="宋体" w:eastAsia="宋体" w:cs="宋体"/>
                <w:color w:val="auto"/>
                <w:kern w:val="0"/>
                <w:sz w:val="21"/>
                <w:szCs w:val="21"/>
                <w:highlight w:val="none"/>
                <w:lang w:eastAsia="zh-CN"/>
              </w:rPr>
              <w:t>，</w:t>
            </w:r>
            <w:r>
              <w:rPr>
                <w:rFonts w:hint="eastAsia" w:ascii="宋体" w:hAnsi="宋体" w:eastAsia="宋体" w:cs="宋体"/>
                <w:color w:val="auto"/>
                <w:kern w:val="0"/>
                <w:sz w:val="21"/>
                <w:szCs w:val="21"/>
                <w:highlight w:val="none"/>
              </w:rPr>
              <w:t>服务响应描述详细、结合项目实际且承诺内容切实可行得</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分，有较明确的服务响应描述，基本符合项目得0-</w:t>
            </w:r>
            <w:r>
              <w:rPr>
                <w:rFonts w:hint="eastAsia" w:ascii="宋体" w:hAnsi="宋体" w:eastAsia="宋体" w:cs="宋体"/>
                <w:color w:val="auto"/>
                <w:kern w:val="0"/>
                <w:sz w:val="21"/>
                <w:szCs w:val="21"/>
                <w:highlight w:val="none"/>
                <w:lang w:val="en-US" w:eastAsia="zh-CN"/>
              </w:rPr>
              <w:t>2</w:t>
            </w:r>
            <w:r>
              <w:rPr>
                <w:rFonts w:hint="eastAsia" w:ascii="宋体" w:hAnsi="宋体" w:eastAsia="宋体" w:cs="宋体"/>
                <w:color w:val="auto"/>
                <w:kern w:val="0"/>
                <w:sz w:val="21"/>
                <w:szCs w:val="21"/>
                <w:highlight w:val="none"/>
              </w:rPr>
              <w:t>分。</w:t>
            </w:r>
          </w:p>
        </w:tc>
        <w:tc>
          <w:tcPr>
            <w:tcW w:w="103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atLeast"/>
          <w:jc w:val="center"/>
        </w:trPr>
        <w:tc>
          <w:tcPr>
            <w:tcW w:w="707" w:type="dxa"/>
            <w:vMerge w:val="continue"/>
            <w:noWrap w:val="0"/>
            <w:vAlign w:val="center"/>
          </w:tcPr>
          <w:p>
            <w:pPr>
              <w:keepNext w:val="0"/>
              <w:keepLines w:val="0"/>
              <w:pageBreakBefore w:val="0"/>
              <w:widowControl w:val="0"/>
              <w:kinsoku/>
              <w:wordWrap/>
              <w:overflowPunct/>
              <w:topLinePunct w:val="0"/>
              <w:autoSpaceDE/>
              <w:autoSpaceDN/>
              <w:bidi w:val="0"/>
              <w:snapToGrid/>
              <w:spacing w:line="480" w:lineRule="exact"/>
              <w:ind w:left="360" w:right="6" w:hanging="315" w:hangingChars="150"/>
              <w:jc w:val="center"/>
              <w:textAlignment w:val="auto"/>
              <w:rPr>
                <w:rFonts w:hint="eastAsia" w:ascii="宋体" w:hAnsi="宋体" w:eastAsia="宋体" w:cs="宋体"/>
                <w:color w:val="auto"/>
                <w:sz w:val="21"/>
                <w:szCs w:val="21"/>
                <w:highlight w:val="none"/>
              </w:rPr>
            </w:pPr>
          </w:p>
        </w:tc>
        <w:tc>
          <w:tcPr>
            <w:tcW w:w="1530" w:type="dxa"/>
            <w:vMerge w:val="continue"/>
            <w:noWrap w:val="0"/>
            <w:vAlign w:val="center"/>
          </w:tcPr>
          <w:p>
            <w:pPr>
              <w:keepNext w:val="0"/>
              <w:keepLines w:val="0"/>
              <w:pageBreakBefore w:val="0"/>
              <w:widowControl w:val="0"/>
              <w:kinsoku/>
              <w:wordWrap/>
              <w:overflowPunct/>
              <w:topLinePunct w:val="0"/>
              <w:autoSpaceDE/>
              <w:autoSpaceDN/>
              <w:bidi w:val="0"/>
              <w:snapToGrid/>
              <w:spacing w:line="480" w:lineRule="exact"/>
              <w:ind w:left="-50"/>
              <w:jc w:val="center"/>
              <w:textAlignment w:val="auto"/>
              <w:rPr>
                <w:rFonts w:hint="eastAsia" w:ascii="宋体" w:hAnsi="宋体" w:eastAsia="宋体" w:cs="宋体"/>
                <w:bCs/>
                <w:color w:val="auto"/>
                <w:kern w:val="28"/>
                <w:sz w:val="21"/>
                <w:szCs w:val="21"/>
                <w:highlight w:val="none"/>
              </w:rPr>
            </w:pPr>
          </w:p>
        </w:tc>
        <w:tc>
          <w:tcPr>
            <w:tcW w:w="5970" w:type="dxa"/>
            <w:noWrap w:val="0"/>
            <w:vAlign w:val="center"/>
          </w:tcPr>
          <w:p>
            <w:pPr>
              <w:pStyle w:val="4"/>
              <w:keepNext w:val="0"/>
              <w:keepLines w:val="0"/>
              <w:pageBreakBefore w:val="0"/>
              <w:widowControl w:val="0"/>
              <w:kinsoku/>
              <w:wordWrap/>
              <w:overflowPunct/>
              <w:topLinePunct w:val="0"/>
              <w:autoSpaceDE/>
              <w:autoSpaceDN/>
              <w:bidi w:val="0"/>
              <w:snapToGrid/>
              <w:spacing w:line="480" w:lineRule="exact"/>
              <w:textAlignment w:val="auto"/>
              <w:rPr>
                <w:rFonts w:hint="eastAsia"/>
                <w:color w:val="auto"/>
                <w:highlight w:val="none"/>
              </w:rPr>
            </w:pPr>
            <w:r>
              <w:rPr>
                <w:rFonts w:hint="eastAsia"/>
                <w:color w:val="auto"/>
                <w:highlight w:val="none"/>
              </w:rPr>
              <w:t>投标人响应的质量保修期满足招标文件要求的，得</w:t>
            </w:r>
            <w:r>
              <w:rPr>
                <w:rFonts w:hint="eastAsia" w:cs="Calibri"/>
                <w:color w:val="auto"/>
                <w:highlight w:val="none"/>
              </w:rPr>
              <w:t>0</w:t>
            </w:r>
            <w:r>
              <w:rPr>
                <w:rFonts w:hint="eastAsia" w:ascii="宋体" w:hAnsi="宋体"/>
                <w:color w:val="auto"/>
                <w:highlight w:val="none"/>
              </w:rPr>
              <w:t>分；每比招标文件要求的保修期延长</w:t>
            </w:r>
            <w:r>
              <w:rPr>
                <w:rFonts w:hint="eastAsia"/>
                <w:color w:val="auto"/>
                <w:highlight w:val="none"/>
              </w:rPr>
              <w:t>一年的，加</w:t>
            </w:r>
            <w:r>
              <w:rPr>
                <w:rFonts w:hint="eastAsia"/>
                <w:color w:val="auto"/>
                <w:highlight w:val="none"/>
                <w:lang w:val="en-US" w:eastAsia="zh-CN"/>
              </w:rPr>
              <w:t>2.5</w:t>
            </w:r>
            <w:r>
              <w:rPr>
                <w:rFonts w:hint="eastAsia"/>
                <w:color w:val="auto"/>
                <w:highlight w:val="none"/>
              </w:rPr>
              <w:t>分，满分</w:t>
            </w:r>
            <w:r>
              <w:rPr>
                <w:rFonts w:hint="eastAsia"/>
                <w:color w:val="auto"/>
                <w:highlight w:val="none"/>
                <w:lang w:val="en-US" w:eastAsia="zh-CN"/>
              </w:rPr>
              <w:t>5</w:t>
            </w:r>
            <w:r>
              <w:rPr>
                <w:rFonts w:hint="eastAsia"/>
                <w:color w:val="auto"/>
                <w:highlight w:val="none"/>
              </w:rPr>
              <w:t>分。</w:t>
            </w:r>
          </w:p>
        </w:tc>
        <w:tc>
          <w:tcPr>
            <w:tcW w:w="1030" w:type="dxa"/>
            <w:noWrap w:val="0"/>
            <w:vAlign w:val="center"/>
          </w:tcPr>
          <w:p>
            <w:pPr>
              <w:keepNext w:val="0"/>
              <w:keepLines w:val="0"/>
              <w:pageBreakBefore w:val="0"/>
              <w:widowControl w:val="0"/>
              <w:kinsoku/>
              <w:wordWrap/>
              <w:overflowPunct/>
              <w:topLinePunct w:val="0"/>
              <w:autoSpaceDE/>
              <w:autoSpaceDN/>
              <w:bidi w:val="0"/>
              <w:snapToGrid/>
              <w:spacing w:line="480" w:lineRule="exact"/>
              <w:ind w:left="-50"/>
              <w:jc w:val="center"/>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5分</w:t>
            </w:r>
          </w:p>
        </w:tc>
      </w:tr>
    </w:tbl>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spacing w:line="360" w:lineRule="auto"/>
        <w:jc w:val="center"/>
        <w:rPr>
          <w:rFonts w:hint="eastAsia" w:ascii="宋体" w:hAnsi="宋体"/>
          <w:b/>
          <w:color w:val="auto"/>
          <w:sz w:val="36"/>
          <w:szCs w:val="36"/>
          <w:lang w:val="en-US" w:eastAsia="zh-CN"/>
        </w:rPr>
      </w:pPr>
      <w:r>
        <w:rPr>
          <w:rFonts w:hint="eastAsia" w:ascii="宋体" w:hAnsi="宋体"/>
          <w:b/>
          <w:color w:val="auto"/>
          <w:sz w:val="36"/>
          <w:szCs w:val="36"/>
          <w:lang w:val="en-US" w:eastAsia="zh-CN"/>
        </w:rPr>
        <w:t xml:space="preserve"> </w:t>
      </w:r>
    </w:p>
    <w:p>
      <w:pPr>
        <w:spacing w:line="360" w:lineRule="auto"/>
        <w:jc w:val="center"/>
        <w:rPr>
          <w:rFonts w:hint="eastAsia" w:ascii="宋体" w:hAnsi="宋体"/>
          <w:b/>
          <w:color w:val="auto"/>
          <w:sz w:val="36"/>
          <w:szCs w:val="36"/>
          <w:lang w:val="en-US" w:eastAsia="zh-CN"/>
        </w:rPr>
      </w:pPr>
    </w:p>
    <w:p>
      <w:pPr>
        <w:spacing w:line="360" w:lineRule="auto"/>
        <w:jc w:val="center"/>
        <w:rPr>
          <w:rFonts w:ascii="宋体"/>
          <w:b/>
          <w:color w:val="auto"/>
          <w:sz w:val="36"/>
          <w:szCs w:val="36"/>
        </w:rPr>
      </w:pPr>
      <w:r>
        <w:rPr>
          <w:rFonts w:hint="eastAsia" w:ascii="宋体" w:hAnsi="宋体"/>
          <w:b/>
          <w:color w:val="auto"/>
          <w:sz w:val="36"/>
          <w:szCs w:val="36"/>
        </w:rPr>
        <w:t>第</w:t>
      </w:r>
      <w:r>
        <w:rPr>
          <w:rFonts w:hint="eastAsia" w:ascii="宋体" w:hAnsi="宋体"/>
          <w:b/>
          <w:color w:val="auto"/>
          <w:sz w:val="36"/>
          <w:szCs w:val="36"/>
          <w:lang w:eastAsia="zh-CN"/>
        </w:rPr>
        <w:t>三</w:t>
      </w:r>
      <w:r>
        <w:rPr>
          <w:rFonts w:hint="eastAsia" w:ascii="宋体" w:hAnsi="宋体"/>
          <w:b/>
          <w:color w:val="auto"/>
          <w:sz w:val="36"/>
          <w:szCs w:val="36"/>
        </w:rPr>
        <w:t>章</w:t>
      </w:r>
      <w:r>
        <w:rPr>
          <w:rFonts w:hint="eastAsia" w:ascii="宋体" w:hAnsi="宋体"/>
          <w:b/>
          <w:color w:val="auto"/>
          <w:sz w:val="36"/>
          <w:szCs w:val="36"/>
          <w:lang w:val="en-US" w:eastAsia="zh-CN"/>
        </w:rPr>
        <w:t xml:space="preserve">  </w:t>
      </w:r>
      <w:r>
        <w:rPr>
          <w:rFonts w:hint="eastAsia" w:ascii="宋体" w:hAnsi="宋体"/>
          <w:b/>
          <w:color w:val="auto"/>
          <w:sz w:val="36"/>
          <w:szCs w:val="36"/>
        </w:rPr>
        <w:t xml:space="preserve"> 合同主要条款</w:t>
      </w:r>
    </w:p>
    <w:p>
      <w:pPr>
        <w:spacing w:line="360" w:lineRule="auto"/>
        <w:ind w:firstLine="480" w:firstLineChars="200"/>
        <w:rPr>
          <w:rFonts w:hint="eastAsia" w:ascii="宋体" w:hAnsi="Times New Roman" w:eastAsia="宋体" w:cs="Times New Roman"/>
          <w:color w:val="000000"/>
          <w:sz w:val="24"/>
          <w:lang w:val="zh-CN"/>
        </w:rPr>
      </w:pPr>
    </w:p>
    <w:p>
      <w:pPr>
        <w:spacing w:line="360" w:lineRule="auto"/>
        <w:ind w:firstLine="480" w:firstLineChars="200"/>
        <w:rPr>
          <w:rFonts w:hint="eastAsia" w:ascii="宋体" w:hAnsi="Times New Roman" w:eastAsia="宋体" w:cs="Times New Roman"/>
          <w:color w:val="000000"/>
          <w:sz w:val="24"/>
          <w:lang w:val="zh-CN"/>
        </w:rPr>
      </w:pPr>
      <w:r>
        <w:rPr>
          <w:rFonts w:hint="eastAsia" w:ascii="宋体" w:hAnsi="Times New Roman" w:eastAsia="宋体" w:cs="Times New Roman"/>
          <w:color w:val="000000"/>
          <w:sz w:val="24"/>
          <w:lang w:val="zh-CN"/>
        </w:rPr>
        <w:t>项目名称：                                项目编号：</w:t>
      </w:r>
    </w:p>
    <w:p>
      <w:pPr>
        <w:spacing w:line="360" w:lineRule="auto"/>
        <w:ind w:firstLine="480" w:firstLineChars="200"/>
        <w:rPr>
          <w:rFonts w:hint="eastAsia" w:ascii="宋体" w:hAnsi="Times New Roman" w:eastAsia="宋体" w:cs="Times New Roman"/>
          <w:color w:val="000000"/>
          <w:sz w:val="24"/>
          <w:lang w:val="zh-CN"/>
        </w:rPr>
      </w:pPr>
      <w:r>
        <w:rPr>
          <w:rFonts w:hint="eastAsia" w:ascii="宋体" w:hAnsi="Times New Roman" w:eastAsia="宋体" w:cs="Times New Roman"/>
          <w:color w:val="000000"/>
          <w:sz w:val="24"/>
          <w:lang w:val="zh-CN"/>
        </w:rPr>
        <w:t xml:space="preserve">甲方：（采购人）                          所在地：                              </w:t>
      </w:r>
    </w:p>
    <w:p>
      <w:pPr>
        <w:spacing w:line="360" w:lineRule="auto"/>
        <w:ind w:firstLine="480" w:firstLineChars="200"/>
        <w:rPr>
          <w:rFonts w:hint="eastAsia" w:ascii="宋体" w:hAnsi="Times New Roman" w:eastAsia="宋体" w:cs="Times New Roman"/>
          <w:color w:val="000000"/>
          <w:sz w:val="24"/>
          <w:lang w:val="zh-CN"/>
        </w:rPr>
      </w:pPr>
      <w:r>
        <w:rPr>
          <w:rFonts w:hint="eastAsia" w:ascii="宋体" w:hAnsi="Times New Roman" w:eastAsia="宋体" w:cs="Times New Roman"/>
          <w:color w:val="000000"/>
          <w:sz w:val="24"/>
          <w:lang w:val="zh-CN"/>
        </w:rPr>
        <w:t>乙方：（成交供应商）                      所在地：</w:t>
      </w:r>
    </w:p>
    <w:p>
      <w:pPr>
        <w:spacing w:line="360" w:lineRule="auto"/>
        <w:ind w:firstLine="480" w:firstLineChars="200"/>
        <w:rPr>
          <w:rFonts w:hint="eastAsia" w:ascii="宋体" w:hAnsi="Times New Roman" w:eastAsia="宋体" w:cs="Times New Roman"/>
          <w:color w:val="000000"/>
          <w:sz w:val="24"/>
          <w:lang w:val="zh-CN"/>
        </w:rPr>
      </w:pPr>
      <w:r>
        <w:rPr>
          <w:rFonts w:hint="eastAsia" w:ascii="宋体" w:hAnsi="Times New Roman" w:eastAsia="宋体" w:cs="Times New Roman"/>
          <w:color w:val="000000"/>
          <w:sz w:val="24"/>
          <w:lang w:val="zh-CN"/>
        </w:rPr>
        <w:t>甲、乙双方根据关于</w:t>
      </w:r>
      <w:r>
        <w:rPr>
          <w:rFonts w:hint="eastAsia" w:ascii="宋体" w:hAnsi="Times New Roman" w:eastAsia="宋体" w:cs="Times New Roman"/>
          <w:color w:val="000000"/>
          <w:sz w:val="24"/>
          <w:u w:val="single"/>
          <w:lang w:val="en-US" w:eastAsia="zh-CN"/>
        </w:rPr>
        <w:t xml:space="preserve">          项目</w:t>
      </w:r>
      <w:r>
        <w:rPr>
          <w:rFonts w:hint="eastAsia" w:ascii="宋体" w:hAnsi="Times New Roman" w:eastAsia="宋体" w:cs="Times New Roman"/>
          <w:color w:val="000000"/>
          <w:sz w:val="24"/>
          <w:lang w:val="en-US" w:eastAsia="zh-CN"/>
        </w:rPr>
        <w:t>邀请</w:t>
      </w:r>
      <w:r>
        <w:rPr>
          <w:rFonts w:hint="eastAsia" w:ascii="宋体" w:hAnsi="Times New Roman" w:eastAsia="宋体" w:cs="Times New Roman"/>
          <w:color w:val="000000"/>
          <w:sz w:val="24"/>
          <w:lang w:val="zh-CN"/>
        </w:rPr>
        <w:t>采购的结果，签署本合同。</w:t>
      </w:r>
    </w:p>
    <w:p>
      <w:pPr>
        <w:pStyle w:val="7"/>
        <w:snapToGrid w:val="0"/>
        <w:spacing w:before="120" w:after="120" w:line="360" w:lineRule="auto"/>
        <w:rPr>
          <w:rFonts w:hAnsi="宋体"/>
          <w:b/>
          <w:sz w:val="24"/>
        </w:rPr>
      </w:pPr>
      <w:r>
        <w:rPr>
          <w:rFonts w:hint="eastAsia" w:hAnsi="宋体"/>
          <w:b/>
          <w:sz w:val="24"/>
          <w:lang w:eastAsia="zh-CN"/>
        </w:rPr>
        <w:t>一</w:t>
      </w:r>
      <w:r>
        <w:rPr>
          <w:rFonts w:hAnsi="宋体"/>
          <w:b/>
          <w:sz w:val="24"/>
        </w:rPr>
        <w:t>、货物内容</w:t>
      </w:r>
    </w:p>
    <w:tbl>
      <w:tblPr>
        <w:tblStyle w:val="9"/>
        <w:tblW w:w="987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586"/>
        <w:gridCol w:w="1096"/>
        <w:gridCol w:w="3684"/>
        <w:gridCol w:w="767"/>
        <w:gridCol w:w="767"/>
        <w:gridCol w:w="767"/>
        <w:gridCol w:w="1105"/>
        <w:gridCol w:w="11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8" w:hRule="atLeast"/>
          <w:jc w:val="center"/>
        </w:trPr>
        <w:tc>
          <w:tcPr>
            <w:tcW w:w="58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序号</w:t>
            </w:r>
          </w:p>
        </w:tc>
        <w:tc>
          <w:tcPr>
            <w:tcW w:w="10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项目名称</w:t>
            </w:r>
          </w:p>
        </w:tc>
        <w:tc>
          <w:tcPr>
            <w:tcW w:w="36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项目特征</w:t>
            </w:r>
          </w:p>
        </w:tc>
        <w:tc>
          <w:tcPr>
            <w:tcW w:w="7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计量</w:t>
            </w:r>
            <w:r>
              <w:rPr>
                <w:rFonts w:hint="eastAsia" w:ascii="宋体" w:hAnsi="宋体" w:eastAsia="宋体" w:cs="宋体"/>
                <w:b/>
                <w:bCs/>
                <w:i w:val="0"/>
                <w:iCs w:val="0"/>
                <w:color w:val="000000"/>
                <w:kern w:val="0"/>
                <w:sz w:val="18"/>
                <w:szCs w:val="18"/>
                <w:u w:val="none"/>
                <w:lang w:val="en-US" w:eastAsia="zh-CN" w:bidi="ar"/>
              </w:rPr>
              <w:br w:type="textWrapping"/>
            </w:r>
            <w:r>
              <w:rPr>
                <w:rFonts w:hint="eastAsia" w:ascii="宋体" w:hAnsi="宋体" w:eastAsia="宋体" w:cs="宋体"/>
                <w:b/>
                <w:bCs/>
                <w:i w:val="0"/>
                <w:iCs w:val="0"/>
                <w:color w:val="000000"/>
                <w:kern w:val="0"/>
                <w:sz w:val="18"/>
                <w:szCs w:val="18"/>
                <w:u w:val="none"/>
                <w:lang w:val="en-US" w:eastAsia="zh-CN" w:bidi="ar"/>
              </w:rPr>
              <w:t>单位</w:t>
            </w:r>
          </w:p>
        </w:tc>
        <w:tc>
          <w:tcPr>
            <w:tcW w:w="7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18"/>
                <w:szCs w:val="18"/>
                <w:u w:val="none"/>
                <w:lang w:val="en-US" w:eastAsia="zh-CN" w:bidi="ar"/>
              </w:rPr>
              <w:t>工程量</w:t>
            </w:r>
          </w:p>
        </w:tc>
        <w:tc>
          <w:tcPr>
            <w:tcW w:w="7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sz w:val="18"/>
                <w:szCs w:val="18"/>
                <w:u w:val="none"/>
              </w:rPr>
              <w:t>品牌</w:t>
            </w:r>
          </w:p>
        </w:tc>
        <w:tc>
          <w:tcPr>
            <w:tcW w:w="110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eastAsia="宋体" w:cs="宋体"/>
                <w:b/>
                <w:bCs/>
                <w:i w:val="0"/>
                <w:iCs w:val="0"/>
                <w:color w:val="000000"/>
                <w:sz w:val="18"/>
                <w:szCs w:val="18"/>
                <w:u w:val="none"/>
                <w:lang w:val="en-US" w:eastAsia="zh-CN"/>
              </w:rPr>
            </w:pPr>
            <w:r>
              <w:rPr>
                <w:rFonts w:hint="eastAsia" w:ascii="宋体" w:hAnsi="宋体" w:cs="宋体"/>
                <w:b/>
                <w:bCs/>
                <w:i w:val="0"/>
                <w:iCs w:val="0"/>
                <w:color w:val="000000"/>
                <w:sz w:val="18"/>
                <w:szCs w:val="18"/>
                <w:u w:val="none"/>
                <w:lang w:val="en-US" w:eastAsia="zh-CN"/>
              </w:rPr>
              <w:t>综合单价</w:t>
            </w:r>
          </w:p>
        </w:tc>
        <w:tc>
          <w:tcPr>
            <w:tcW w:w="110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default" w:ascii="宋体" w:hAnsi="宋体" w:cs="宋体"/>
                <w:b/>
                <w:bCs/>
                <w:i w:val="0"/>
                <w:iCs w:val="0"/>
                <w:color w:val="000000"/>
                <w:sz w:val="18"/>
                <w:szCs w:val="18"/>
                <w:u w:val="none"/>
                <w:lang w:val="en-US" w:eastAsia="zh-CN"/>
              </w:rPr>
            </w:pPr>
            <w:r>
              <w:rPr>
                <w:rFonts w:hint="eastAsia" w:ascii="宋体" w:hAnsi="宋体" w:cs="宋体"/>
                <w:b/>
                <w:bCs/>
                <w:i w:val="0"/>
                <w:iCs w:val="0"/>
                <w:color w:val="000000"/>
                <w:sz w:val="18"/>
                <w:szCs w:val="18"/>
                <w:u w:val="none"/>
                <w:lang w:val="en-US" w:eastAsia="zh-CN"/>
              </w:rPr>
              <w:t>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58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8"/>
                <w:szCs w:val="18"/>
                <w:u w:val="none"/>
                <w:lang w:val="en-US" w:eastAsia="zh-CN" w:bidi="ar-SA"/>
              </w:rPr>
            </w:pPr>
          </w:p>
        </w:tc>
        <w:tc>
          <w:tcPr>
            <w:tcW w:w="10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6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kern w:val="0"/>
                <w:sz w:val="18"/>
                <w:szCs w:val="18"/>
                <w:u w:val="none"/>
                <w:lang w:val="en-US" w:eastAsia="zh-CN" w:bidi="ar"/>
              </w:rPr>
            </w:pPr>
          </w:p>
        </w:tc>
        <w:tc>
          <w:tcPr>
            <w:tcW w:w="7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val="0"/>
              <w:jc w:val="right"/>
              <w:rPr>
                <w:rFonts w:hint="eastAsia" w:ascii="宋体" w:hAnsi="宋体" w:eastAsia="宋体" w:cs="宋体"/>
                <w:i w:val="0"/>
                <w:iCs w:val="0"/>
                <w:color w:val="000000"/>
                <w:kern w:val="2"/>
                <w:sz w:val="18"/>
                <w:szCs w:val="18"/>
                <w:u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val="0"/>
              <w:jc w:val="right"/>
              <w:rPr>
                <w:rFonts w:hint="eastAsia" w:ascii="宋体" w:hAnsi="宋体" w:eastAsia="宋体" w:cs="宋体"/>
                <w:i w:val="0"/>
                <w:iCs w:val="0"/>
                <w:color w:val="000000"/>
                <w:kern w:val="2"/>
                <w:sz w:val="18"/>
                <w:szCs w:val="18"/>
                <w:u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val="0"/>
              <w:jc w:val="right"/>
              <w:rPr>
                <w:rFonts w:hint="eastAsia" w:ascii="宋体" w:hAnsi="宋体" w:eastAsia="宋体" w:cs="宋体"/>
                <w:i w:val="0"/>
                <w:iCs w:val="0"/>
                <w:color w:val="000000"/>
                <w:kern w:val="2"/>
                <w:sz w:val="18"/>
                <w:szCs w:val="18"/>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58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8"/>
                <w:szCs w:val="18"/>
                <w:u w:val="none"/>
                <w:lang w:val="en-US" w:eastAsia="zh-CN" w:bidi="ar-SA"/>
              </w:rPr>
            </w:pPr>
          </w:p>
        </w:tc>
        <w:tc>
          <w:tcPr>
            <w:tcW w:w="10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6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kern w:val="0"/>
                <w:sz w:val="18"/>
                <w:szCs w:val="18"/>
                <w:u w:val="none"/>
                <w:lang w:val="en-US" w:eastAsia="zh-CN" w:bidi="ar"/>
              </w:rPr>
            </w:pPr>
          </w:p>
        </w:tc>
        <w:tc>
          <w:tcPr>
            <w:tcW w:w="7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val="0"/>
              <w:jc w:val="right"/>
              <w:rPr>
                <w:rFonts w:hint="eastAsia" w:ascii="宋体" w:hAnsi="宋体" w:eastAsia="宋体" w:cs="宋体"/>
                <w:i w:val="0"/>
                <w:iCs w:val="0"/>
                <w:color w:val="000000"/>
                <w:kern w:val="2"/>
                <w:sz w:val="18"/>
                <w:szCs w:val="18"/>
                <w:u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val="0"/>
              <w:jc w:val="right"/>
              <w:rPr>
                <w:rFonts w:hint="eastAsia" w:ascii="宋体" w:hAnsi="宋体" w:eastAsia="宋体" w:cs="宋体"/>
                <w:i w:val="0"/>
                <w:iCs w:val="0"/>
                <w:color w:val="000000"/>
                <w:kern w:val="2"/>
                <w:sz w:val="18"/>
                <w:szCs w:val="18"/>
                <w:u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val="0"/>
              <w:jc w:val="right"/>
              <w:rPr>
                <w:rFonts w:hint="eastAsia" w:ascii="宋体" w:hAnsi="宋体" w:eastAsia="宋体" w:cs="宋体"/>
                <w:i w:val="0"/>
                <w:iCs w:val="0"/>
                <w:color w:val="000000"/>
                <w:kern w:val="2"/>
                <w:sz w:val="18"/>
                <w:szCs w:val="18"/>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58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kern w:val="2"/>
                <w:sz w:val="18"/>
                <w:szCs w:val="18"/>
                <w:u w:val="none"/>
                <w:lang w:val="en-US" w:eastAsia="zh-CN" w:bidi="ar-SA"/>
              </w:rPr>
            </w:pPr>
          </w:p>
        </w:tc>
        <w:tc>
          <w:tcPr>
            <w:tcW w:w="1096"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3684"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left"/>
              <w:textAlignment w:val="center"/>
              <w:rPr>
                <w:rFonts w:hint="eastAsia" w:ascii="宋体" w:hAnsi="宋体" w:eastAsia="宋体" w:cs="宋体"/>
                <w:i w:val="0"/>
                <w:iCs w:val="0"/>
                <w:color w:val="000000"/>
                <w:kern w:val="0"/>
                <w:sz w:val="18"/>
                <w:szCs w:val="18"/>
                <w:u w:val="none"/>
                <w:lang w:val="en-US" w:eastAsia="zh-CN" w:bidi="ar"/>
              </w:rPr>
            </w:pPr>
          </w:p>
        </w:tc>
        <w:tc>
          <w:tcPr>
            <w:tcW w:w="7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76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val="0"/>
              <w:jc w:val="right"/>
              <w:rPr>
                <w:rFonts w:hint="eastAsia" w:ascii="宋体" w:hAnsi="宋体" w:eastAsia="宋体" w:cs="宋体"/>
                <w:i w:val="0"/>
                <w:iCs w:val="0"/>
                <w:color w:val="000000"/>
                <w:kern w:val="2"/>
                <w:sz w:val="18"/>
                <w:szCs w:val="18"/>
                <w:u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val="0"/>
              <w:jc w:val="right"/>
              <w:rPr>
                <w:rFonts w:hint="eastAsia" w:ascii="宋体" w:hAnsi="宋体" w:eastAsia="宋体" w:cs="宋体"/>
                <w:i w:val="0"/>
                <w:iCs w:val="0"/>
                <w:color w:val="000000"/>
                <w:kern w:val="2"/>
                <w:sz w:val="18"/>
                <w:szCs w:val="18"/>
                <w:u w:val="none"/>
                <w:lang w:val="en-US" w:eastAsia="zh-CN" w:bidi="ar-SA"/>
              </w:rPr>
            </w:pPr>
          </w:p>
        </w:tc>
        <w:tc>
          <w:tcPr>
            <w:tcW w:w="110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val="0"/>
              <w:jc w:val="right"/>
              <w:rPr>
                <w:rFonts w:hint="eastAsia" w:ascii="宋体" w:hAnsi="宋体" w:eastAsia="宋体" w:cs="宋体"/>
                <w:i w:val="0"/>
                <w:iCs w:val="0"/>
                <w:color w:val="000000"/>
                <w:kern w:val="2"/>
                <w:sz w:val="18"/>
                <w:szCs w:val="18"/>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3" w:hRule="atLeast"/>
          <w:jc w:val="center"/>
        </w:trPr>
        <w:tc>
          <w:tcPr>
            <w:tcW w:w="8772" w:type="dxa"/>
            <w:gridSpan w:val="7"/>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val="0"/>
              <w:jc w:val="center"/>
              <w:rPr>
                <w:rFonts w:hint="eastAsia" w:ascii="宋体" w:hAnsi="宋体" w:eastAsia="宋体" w:cs="宋体"/>
                <w:i w:val="0"/>
                <w:iCs w:val="0"/>
                <w:color w:val="000000"/>
                <w:sz w:val="18"/>
                <w:szCs w:val="18"/>
                <w:u w:val="none"/>
              </w:rPr>
            </w:pPr>
            <w:r>
              <w:rPr>
                <w:rFonts w:hint="eastAsia" w:ascii="宋体" w:hAnsi="宋体" w:cs="宋体"/>
                <w:i w:val="0"/>
                <w:iCs w:val="0"/>
                <w:color w:val="000000"/>
                <w:sz w:val="18"/>
                <w:szCs w:val="18"/>
                <w:u w:val="none"/>
                <w:lang w:val="en-US" w:eastAsia="zh-CN"/>
              </w:rPr>
              <w:t>合计</w:t>
            </w:r>
          </w:p>
        </w:tc>
        <w:tc>
          <w:tcPr>
            <w:tcW w:w="1105"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keepNext w:val="0"/>
              <w:keepLines w:val="0"/>
              <w:pageBreakBefore w:val="0"/>
              <w:kinsoku/>
              <w:wordWrap/>
              <w:overflowPunct/>
              <w:topLinePunct w:val="0"/>
              <w:autoSpaceDE/>
              <w:autoSpaceDN/>
              <w:bidi w:val="0"/>
              <w:adjustRightInd/>
              <w:snapToGrid w:val="0"/>
              <w:jc w:val="right"/>
              <w:rPr>
                <w:rFonts w:hint="eastAsia" w:ascii="宋体" w:hAnsi="宋体" w:eastAsia="宋体" w:cs="宋体"/>
                <w:i w:val="0"/>
                <w:iCs w:val="0"/>
                <w:color w:val="000000"/>
                <w:sz w:val="18"/>
                <w:szCs w:val="18"/>
                <w:u w:val="none"/>
              </w:rPr>
            </w:pPr>
          </w:p>
        </w:tc>
      </w:tr>
    </w:tbl>
    <w:p>
      <w:pPr>
        <w:spacing w:line="360" w:lineRule="auto"/>
        <w:rPr>
          <w:rFonts w:hint="default" w:ascii="宋体" w:hAnsi="Times New Roman" w:eastAsia="宋体" w:cs="Times New Roman"/>
          <w:color w:val="000000"/>
          <w:sz w:val="24"/>
          <w:lang w:val="en-US"/>
        </w:rPr>
      </w:pPr>
      <w:r>
        <w:rPr>
          <w:rFonts w:hint="eastAsia" w:ascii="宋体" w:hAnsi="Times New Roman" w:eastAsia="宋体" w:cs="Times New Roman"/>
          <w:color w:val="000000"/>
          <w:sz w:val="24"/>
          <w:lang w:val="en-US" w:eastAsia="zh-CN"/>
        </w:rPr>
        <w:t>注：综合单价包括项目的供货（含备品备件）、运输、安装、保险、税金、验收及售后服务等所有费用。</w:t>
      </w:r>
    </w:p>
    <w:p>
      <w:pPr>
        <w:spacing w:line="360" w:lineRule="auto"/>
        <w:rPr>
          <w:rFonts w:hint="eastAsia" w:ascii="宋体" w:hAnsi="Times New Roman" w:eastAsia="宋体" w:cs="Times New Roman"/>
          <w:b/>
          <w:bCs/>
          <w:color w:val="000000"/>
          <w:sz w:val="24"/>
          <w:lang w:val="zh-CN"/>
        </w:rPr>
      </w:pPr>
      <w:r>
        <w:rPr>
          <w:rFonts w:hint="eastAsia" w:ascii="宋体" w:cs="Times New Roman"/>
          <w:b/>
          <w:bCs/>
          <w:color w:val="000000"/>
          <w:sz w:val="24"/>
          <w:lang w:val="zh-CN"/>
        </w:rPr>
        <w:t>二</w:t>
      </w:r>
      <w:r>
        <w:rPr>
          <w:rFonts w:hint="eastAsia" w:ascii="宋体" w:hAnsi="Times New Roman" w:eastAsia="宋体" w:cs="Times New Roman"/>
          <w:b/>
          <w:bCs/>
          <w:color w:val="000000"/>
          <w:sz w:val="24"/>
          <w:lang w:val="zh-CN"/>
        </w:rPr>
        <w:t>、合同金额</w:t>
      </w:r>
    </w:p>
    <w:p>
      <w:pPr>
        <w:spacing w:line="360" w:lineRule="auto"/>
        <w:ind w:firstLine="480" w:firstLineChars="200"/>
        <w:rPr>
          <w:rFonts w:hAnsi="宋体"/>
          <w:color w:val="000000"/>
          <w:sz w:val="24"/>
        </w:rPr>
      </w:pPr>
      <w:r>
        <w:rPr>
          <w:rFonts w:hint="eastAsia" w:ascii="宋体" w:hAnsi="Times New Roman" w:eastAsia="宋体" w:cs="Times New Roman"/>
          <w:color w:val="000000"/>
          <w:sz w:val="24"/>
          <w:lang w:val="zh-CN"/>
        </w:rPr>
        <w:t>本合</w:t>
      </w:r>
      <w:r>
        <w:rPr>
          <w:rFonts w:hAnsi="宋体"/>
          <w:color w:val="000000"/>
          <w:sz w:val="24"/>
        </w:rPr>
        <w:t>同金额为人民币（大写）：__________________元（</w:t>
      </w:r>
      <w:r>
        <w:rPr>
          <w:rFonts w:hint="default" w:ascii="Arial" w:hAnsi="Arial" w:cs="Arial"/>
          <w:color w:val="000000"/>
          <w:sz w:val="24"/>
        </w:rPr>
        <w:t>¥</w:t>
      </w:r>
      <w:r>
        <w:rPr>
          <w:rFonts w:hAnsi="宋体"/>
          <w:color w:val="000000"/>
          <w:sz w:val="24"/>
        </w:rPr>
        <w:t>______元）。</w:t>
      </w:r>
    </w:p>
    <w:p>
      <w:pPr>
        <w:pStyle w:val="7"/>
        <w:keepNext w:val="0"/>
        <w:keepLines w:val="0"/>
        <w:pageBreakBefore w:val="0"/>
        <w:kinsoku/>
        <w:wordWrap/>
        <w:overflowPunct/>
        <w:topLinePunct w:val="0"/>
        <w:bidi w:val="0"/>
        <w:adjustRightInd/>
        <w:snapToGrid/>
        <w:spacing w:line="360" w:lineRule="auto"/>
        <w:ind w:right="0"/>
        <w:textAlignment w:val="auto"/>
        <w:rPr>
          <w:rFonts w:hAnsi="宋体"/>
          <w:b/>
          <w:sz w:val="24"/>
        </w:rPr>
      </w:pPr>
      <w:r>
        <w:rPr>
          <w:rFonts w:hint="eastAsia" w:hAnsi="宋体"/>
          <w:b/>
          <w:sz w:val="24"/>
          <w:lang w:eastAsia="zh-CN"/>
        </w:rPr>
        <w:t>三</w:t>
      </w:r>
      <w:r>
        <w:rPr>
          <w:rFonts w:hAnsi="宋体"/>
          <w:b/>
          <w:sz w:val="24"/>
        </w:rPr>
        <w:t>、技术资料</w:t>
      </w:r>
    </w:p>
    <w:p>
      <w:pPr>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int="eastAsia" w:ascii="宋体" w:hAnsi="Times New Roman" w:eastAsia="宋体" w:cs="Times New Roman"/>
          <w:color w:val="000000"/>
          <w:sz w:val="24"/>
          <w:lang w:val="zh-CN"/>
        </w:rPr>
      </w:pPr>
      <w:r>
        <w:rPr>
          <w:rFonts w:hint="eastAsia" w:hAnsi="宋体"/>
          <w:sz w:val="24"/>
          <w:lang w:val="en-US" w:eastAsia="zh-CN"/>
        </w:rPr>
        <w:t>1</w:t>
      </w:r>
      <w:r>
        <w:rPr>
          <w:rFonts w:hint="eastAsia" w:ascii="宋体" w:hAnsi="Times New Roman" w:eastAsia="宋体" w:cs="Times New Roman"/>
          <w:color w:val="000000"/>
          <w:sz w:val="24"/>
          <w:lang w:val="zh-CN"/>
        </w:rPr>
        <w:t xml:space="preserve">. </w:t>
      </w:r>
      <w:r>
        <w:rPr>
          <w:rFonts w:hAnsi="宋体"/>
          <w:sz w:val="24"/>
        </w:rPr>
        <w:t>乙方</w:t>
      </w:r>
      <w:r>
        <w:rPr>
          <w:rFonts w:hint="eastAsia" w:ascii="宋体" w:hAnsi="Times New Roman" w:eastAsia="宋体" w:cs="Times New Roman"/>
          <w:color w:val="000000"/>
          <w:sz w:val="24"/>
          <w:lang w:val="zh-CN"/>
        </w:rPr>
        <w:t>应按采购文件规定的时间向甲方提供使用货物的有关技术资料。</w:t>
      </w:r>
    </w:p>
    <w:p>
      <w:pPr>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int="eastAsia" w:ascii="宋体" w:hAnsi="Times New Roman" w:eastAsia="宋体" w:cs="Times New Roman"/>
          <w:color w:val="000000"/>
          <w:sz w:val="24"/>
          <w:lang w:val="zh-CN"/>
        </w:rPr>
      </w:pPr>
      <w:r>
        <w:rPr>
          <w:rFonts w:hint="eastAsia" w:ascii="宋体" w:hAnsi="Times New Roman" w:eastAsia="宋体" w:cs="Times New Roman"/>
          <w:color w:val="000000"/>
          <w:sz w:val="24"/>
          <w:lang w:val="zh-CN"/>
        </w:rPr>
        <w:t>2. 没有甲方事先书面同意，乙方不得将由甲方提供的有关合同或任何合同条文、规格、</w:t>
      </w:r>
      <w:r>
        <w:rPr>
          <w:rFonts w:hAnsi="宋体"/>
          <w:sz w:val="24"/>
        </w:rPr>
        <w:t>计划、图纸、样品或资料提供给与履行本合同无关的任何其他人。即使向履行</w:t>
      </w:r>
      <w:r>
        <w:rPr>
          <w:rFonts w:hint="eastAsia" w:ascii="宋体" w:hAnsi="Times New Roman" w:eastAsia="宋体" w:cs="Times New Roman"/>
          <w:color w:val="000000"/>
          <w:sz w:val="24"/>
          <w:lang w:val="zh-CN"/>
        </w:rPr>
        <w:t>本合同有关的人员提供，也应注意保密并限于履行合同的必需范围。</w:t>
      </w:r>
    </w:p>
    <w:p>
      <w:pPr>
        <w:keepNext w:val="0"/>
        <w:keepLines w:val="0"/>
        <w:pageBreakBefore w:val="0"/>
        <w:kinsoku/>
        <w:wordWrap/>
        <w:overflowPunct/>
        <w:topLinePunct w:val="0"/>
        <w:bidi w:val="0"/>
        <w:adjustRightInd/>
        <w:snapToGrid/>
        <w:spacing w:line="360" w:lineRule="auto"/>
        <w:ind w:right="0"/>
        <w:textAlignment w:val="auto"/>
        <w:rPr>
          <w:rFonts w:hint="eastAsia" w:ascii="宋体" w:hAnsi="Times New Roman" w:eastAsia="宋体" w:cs="Times New Roman"/>
          <w:b/>
          <w:bCs/>
          <w:color w:val="000000"/>
          <w:sz w:val="24"/>
          <w:lang w:val="zh-CN"/>
        </w:rPr>
      </w:pPr>
      <w:r>
        <w:rPr>
          <w:rFonts w:hint="eastAsia" w:ascii="宋体" w:cs="Times New Roman"/>
          <w:b/>
          <w:bCs/>
          <w:color w:val="000000"/>
          <w:sz w:val="24"/>
          <w:lang w:val="zh-CN"/>
        </w:rPr>
        <w:t>四</w:t>
      </w:r>
      <w:r>
        <w:rPr>
          <w:rFonts w:hint="eastAsia" w:ascii="宋体" w:hAnsi="Times New Roman" w:eastAsia="宋体" w:cs="Times New Roman"/>
          <w:b/>
          <w:bCs/>
          <w:color w:val="000000"/>
          <w:sz w:val="24"/>
          <w:lang w:val="zh-CN"/>
        </w:rPr>
        <w:t>、知识产权</w:t>
      </w:r>
    </w:p>
    <w:p>
      <w:pPr>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int="eastAsia" w:ascii="宋体" w:hAnsi="Times New Roman" w:eastAsia="宋体" w:cs="Times New Roman"/>
          <w:color w:val="000000"/>
          <w:sz w:val="24"/>
          <w:lang w:val="zh-CN"/>
        </w:rPr>
      </w:pPr>
      <w:r>
        <w:rPr>
          <w:rFonts w:hint="eastAsia" w:ascii="宋体" w:hAnsi="Times New Roman" w:eastAsia="宋体" w:cs="Times New Roman"/>
          <w:color w:val="000000"/>
          <w:sz w:val="24"/>
          <w:lang w:val="zh-CN"/>
        </w:rPr>
        <w:t>1.乙方应保证所提供的货物或其任何一部分均不会侵犯任何第三方的知识产权。</w:t>
      </w:r>
    </w:p>
    <w:p>
      <w:pPr>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int="eastAsia" w:hAnsi="宋体"/>
          <w:sz w:val="24"/>
        </w:rPr>
      </w:pPr>
      <w:r>
        <w:rPr>
          <w:rFonts w:hint="eastAsia" w:ascii="宋体" w:hAnsi="Times New Roman" w:eastAsia="宋体" w:cs="Times New Roman"/>
          <w:color w:val="000000"/>
          <w:sz w:val="24"/>
          <w:lang w:val="zh-CN"/>
        </w:rPr>
        <w:t>2.若侵犯</w:t>
      </w:r>
      <w:r>
        <w:rPr>
          <w:rFonts w:hint="eastAsia" w:hAnsi="宋体"/>
          <w:sz w:val="24"/>
        </w:rPr>
        <w:t>,由乙方赔偿甲方因此遭受的损失（包括但不限于应对及追偿过程中所支付的律师费、差旅费、诉讼费、保全费、鉴定费、评估费等）。</w:t>
      </w:r>
    </w:p>
    <w:p>
      <w:pPr>
        <w:pStyle w:val="7"/>
        <w:keepNext w:val="0"/>
        <w:keepLines w:val="0"/>
        <w:pageBreakBefore w:val="0"/>
        <w:kinsoku/>
        <w:wordWrap/>
        <w:overflowPunct/>
        <w:topLinePunct w:val="0"/>
        <w:bidi w:val="0"/>
        <w:adjustRightInd/>
        <w:snapToGrid/>
        <w:spacing w:line="360" w:lineRule="auto"/>
        <w:ind w:right="0"/>
        <w:textAlignment w:val="auto"/>
        <w:rPr>
          <w:rFonts w:hAnsi="宋体"/>
          <w:sz w:val="24"/>
          <w:u w:val="single"/>
        </w:rPr>
      </w:pPr>
      <w:r>
        <w:rPr>
          <w:rFonts w:hint="eastAsia" w:hAnsi="宋体"/>
          <w:b/>
          <w:sz w:val="24"/>
          <w:lang w:eastAsia="zh-CN"/>
        </w:rPr>
        <w:t>五</w:t>
      </w:r>
      <w:r>
        <w:rPr>
          <w:rFonts w:hAnsi="宋体"/>
          <w:b/>
          <w:sz w:val="24"/>
        </w:rPr>
        <w:t>、产权担保</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b/>
          <w:bCs/>
          <w:color w:val="000000"/>
          <w:sz w:val="24"/>
        </w:rPr>
      </w:pPr>
      <w:r>
        <w:rPr>
          <w:rFonts w:hAnsi="宋体"/>
          <w:sz w:val="24"/>
        </w:rPr>
        <w:t>乙方保证所交付的货物的所有权完全属于乙方且无任何抵押、查封等产权瑕疵。</w:t>
      </w:r>
    </w:p>
    <w:p>
      <w:pPr>
        <w:pStyle w:val="7"/>
        <w:keepNext w:val="0"/>
        <w:keepLines w:val="0"/>
        <w:pageBreakBefore w:val="0"/>
        <w:kinsoku/>
        <w:wordWrap/>
        <w:overflowPunct/>
        <w:topLinePunct w:val="0"/>
        <w:bidi w:val="0"/>
        <w:adjustRightInd/>
        <w:snapToGrid/>
        <w:spacing w:line="360" w:lineRule="auto"/>
        <w:ind w:right="0"/>
        <w:textAlignment w:val="auto"/>
        <w:rPr>
          <w:rFonts w:hAnsi="宋体"/>
          <w:b/>
          <w:sz w:val="24"/>
        </w:rPr>
      </w:pPr>
      <w:r>
        <w:rPr>
          <w:rFonts w:hint="eastAsia" w:hAnsi="宋体"/>
          <w:b/>
          <w:sz w:val="24"/>
          <w:lang w:eastAsia="zh-CN"/>
        </w:rPr>
        <w:t>六</w:t>
      </w:r>
      <w:r>
        <w:rPr>
          <w:rFonts w:hint="eastAsia" w:hAnsi="宋体"/>
          <w:b/>
          <w:sz w:val="24"/>
        </w:rPr>
        <w:t>、转包或分包</w:t>
      </w:r>
    </w:p>
    <w:p>
      <w:pPr>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ascii="宋体" w:hAnsi="宋体"/>
          <w:sz w:val="24"/>
        </w:rPr>
      </w:pPr>
      <w:r>
        <w:rPr>
          <w:rFonts w:ascii="宋体" w:hAnsi="宋体"/>
          <w:sz w:val="24"/>
        </w:rPr>
        <w:t>1</w:t>
      </w:r>
      <w:r>
        <w:rPr>
          <w:rFonts w:hint="eastAsia" w:ascii="宋体" w:hAnsi="宋体"/>
          <w:sz w:val="24"/>
        </w:rPr>
        <w:t>.本合同范围的货物，应由</w:t>
      </w:r>
      <w:r>
        <w:rPr>
          <w:rFonts w:ascii="宋体" w:hAnsi="宋体"/>
          <w:sz w:val="24"/>
        </w:rPr>
        <w:t>乙</w:t>
      </w:r>
      <w:r>
        <w:rPr>
          <w:rFonts w:hint="eastAsia" w:ascii="宋体" w:hAnsi="宋体"/>
          <w:sz w:val="24"/>
        </w:rPr>
        <w:t>方直接供应，不得转让他人供应；</w:t>
      </w:r>
    </w:p>
    <w:p>
      <w:pPr>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ascii="宋体" w:hAnsi="宋体"/>
          <w:sz w:val="24"/>
        </w:rPr>
      </w:pPr>
      <w:r>
        <w:rPr>
          <w:rFonts w:ascii="宋体" w:hAnsi="宋体"/>
          <w:sz w:val="24"/>
        </w:rPr>
        <w:t>2</w:t>
      </w:r>
      <w:r>
        <w:rPr>
          <w:rFonts w:hint="eastAsia" w:ascii="宋体" w:hAnsi="宋体"/>
          <w:sz w:val="24"/>
        </w:rPr>
        <w:t>.除非得到</w:t>
      </w:r>
      <w:r>
        <w:rPr>
          <w:rFonts w:ascii="宋体" w:hAnsi="宋体"/>
          <w:sz w:val="24"/>
        </w:rPr>
        <w:t>甲</w:t>
      </w:r>
      <w:r>
        <w:rPr>
          <w:rFonts w:hint="eastAsia" w:ascii="宋体" w:hAnsi="宋体"/>
          <w:sz w:val="24"/>
        </w:rPr>
        <w:t>方的书面同意，</w:t>
      </w:r>
      <w:r>
        <w:rPr>
          <w:rFonts w:ascii="宋体" w:hAnsi="宋体"/>
          <w:sz w:val="24"/>
        </w:rPr>
        <w:t>乙</w:t>
      </w:r>
      <w:r>
        <w:rPr>
          <w:rFonts w:hint="eastAsia" w:ascii="宋体" w:hAnsi="宋体"/>
          <w:sz w:val="24"/>
        </w:rPr>
        <w:t>方不得将本合同范围的货物全部或部分分包给他人供应；</w:t>
      </w:r>
    </w:p>
    <w:p>
      <w:pPr>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ascii="宋体" w:hAnsi="宋体"/>
          <w:sz w:val="24"/>
        </w:rPr>
      </w:pPr>
      <w:r>
        <w:rPr>
          <w:rFonts w:ascii="宋体" w:hAnsi="宋体"/>
          <w:sz w:val="24"/>
        </w:rPr>
        <w:t>3</w:t>
      </w:r>
      <w:r>
        <w:rPr>
          <w:rFonts w:hint="eastAsia" w:ascii="宋体" w:hAnsi="宋体"/>
          <w:sz w:val="24"/>
        </w:rPr>
        <w:t>.如有转让和未经</w:t>
      </w:r>
      <w:r>
        <w:rPr>
          <w:rFonts w:ascii="宋体" w:hAnsi="宋体"/>
          <w:sz w:val="24"/>
        </w:rPr>
        <w:t>甲</w:t>
      </w:r>
      <w:r>
        <w:rPr>
          <w:rFonts w:hint="eastAsia" w:ascii="宋体" w:hAnsi="宋体"/>
          <w:sz w:val="24"/>
        </w:rPr>
        <w:t>方同意的分包行为，</w:t>
      </w:r>
      <w:r>
        <w:rPr>
          <w:rFonts w:ascii="宋体" w:hAnsi="宋体"/>
          <w:sz w:val="24"/>
        </w:rPr>
        <w:t>甲</w:t>
      </w:r>
      <w:r>
        <w:rPr>
          <w:rFonts w:hint="eastAsia" w:ascii="宋体" w:hAnsi="宋体"/>
          <w:sz w:val="24"/>
        </w:rPr>
        <w:t>方有权解除合同，没收履约保证金并追究乙方的违约责任。</w:t>
      </w:r>
    </w:p>
    <w:p>
      <w:pPr>
        <w:pStyle w:val="7"/>
        <w:keepNext w:val="0"/>
        <w:keepLines w:val="0"/>
        <w:pageBreakBefore w:val="0"/>
        <w:kinsoku/>
        <w:wordWrap/>
        <w:overflowPunct/>
        <w:topLinePunct w:val="0"/>
        <w:bidi w:val="0"/>
        <w:adjustRightInd/>
        <w:snapToGrid/>
        <w:spacing w:line="360" w:lineRule="auto"/>
        <w:ind w:right="0"/>
        <w:textAlignment w:val="auto"/>
        <w:rPr>
          <w:rFonts w:hAnsi="宋体"/>
          <w:sz w:val="24"/>
        </w:rPr>
      </w:pPr>
      <w:r>
        <w:rPr>
          <w:rFonts w:hint="eastAsia" w:hAnsi="宋体"/>
          <w:b/>
          <w:sz w:val="24"/>
          <w:lang w:eastAsia="zh-CN"/>
        </w:rPr>
        <w:t>七</w:t>
      </w:r>
      <w:r>
        <w:rPr>
          <w:rFonts w:hAnsi="宋体"/>
          <w:b/>
          <w:sz w:val="24"/>
        </w:rPr>
        <w:t>、质保期</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1</w:t>
      </w:r>
      <w:r>
        <w:rPr>
          <w:rFonts w:hint="eastAsia" w:hAnsi="宋体"/>
          <w:sz w:val="24"/>
        </w:rPr>
        <w:t>.</w:t>
      </w:r>
      <w:r>
        <w:rPr>
          <w:rFonts w:hAnsi="宋体"/>
          <w:sz w:val="24"/>
        </w:rPr>
        <w:t xml:space="preserve"> 质保期</w:t>
      </w:r>
      <w:r>
        <w:rPr>
          <w:rFonts w:hint="eastAsia" w:ascii="宋体" w:hAnsi="宋体" w:eastAsia="宋体" w:cs="Times New Roman"/>
          <w:sz w:val="24"/>
          <w:u w:val="single"/>
          <w:lang w:val="en-US" w:eastAsia="zh-CN"/>
        </w:rPr>
        <w:t xml:space="preserve">     </w:t>
      </w:r>
      <w:r>
        <w:rPr>
          <w:rFonts w:hAnsi="宋体"/>
          <w:sz w:val="24"/>
        </w:rPr>
        <w:t>年。（自交货验收合格之日起计）</w:t>
      </w:r>
    </w:p>
    <w:p>
      <w:pPr>
        <w:pStyle w:val="7"/>
        <w:keepNext w:val="0"/>
        <w:keepLines w:val="0"/>
        <w:pageBreakBefore w:val="0"/>
        <w:kinsoku/>
        <w:wordWrap/>
        <w:overflowPunct/>
        <w:topLinePunct w:val="0"/>
        <w:bidi w:val="0"/>
        <w:adjustRightInd/>
        <w:snapToGrid/>
        <w:spacing w:line="360" w:lineRule="auto"/>
        <w:ind w:right="0"/>
        <w:textAlignment w:val="auto"/>
        <w:rPr>
          <w:rFonts w:hAnsi="宋体"/>
          <w:b/>
          <w:sz w:val="24"/>
        </w:rPr>
      </w:pPr>
      <w:r>
        <w:rPr>
          <w:rFonts w:hint="eastAsia" w:hAnsi="宋体"/>
          <w:b/>
          <w:sz w:val="24"/>
          <w:lang w:eastAsia="zh-CN"/>
        </w:rPr>
        <w:t>八</w:t>
      </w:r>
      <w:r>
        <w:rPr>
          <w:rFonts w:hAnsi="宋体"/>
          <w:b/>
          <w:sz w:val="24"/>
        </w:rPr>
        <w:t>、交货期、交货方式及交货地点</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bCs/>
          <w:color w:val="000000"/>
          <w:sz w:val="24"/>
        </w:rPr>
      </w:pPr>
      <w:r>
        <w:rPr>
          <w:rFonts w:hAnsi="宋体"/>
          <w:bCs/>
          <w:sz w:val="24"/>
        </w:rPr>
        <w:t>1</w:t>
      </w:r>
      <w:r>
        <w:rPr>
          <w:rFonts w:hint="eastAsia" w:hAnsi="宋体"/>
          <w:bCs/>
          <w:sz w:val="24"/>
        </w:rPr>
        <w:t>.</w:t>
      </w:r>
      <w:r>
        <w:rPr>
          <w:rFonts w:hAnsi="宋体"/>
          <w:bCs/>
          <w:sz w:val="24"/>
        </w:rPr>
        <w:t xml:space="preserve"> 交货期：</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bCs/>
          <w:color w:val="000000"/>
          <w:sz w:val="24"/>
        </w:rPr>
      </w:pPr>
      <w:r>
        <w:rPr>
          <w:rFonts w:hAnsi="宋体"/>
          <w:bCs/>
          <w:color w:val="000000"/>
          <w:sz w:val="24"/>
        </w:rPr>
        <w:t>2</w:t>
      </w:r>
      <w:r>
        <w:rPr>
          <w:rFonts w:hint="eastAsia" w:hAnsi="宋体"/>
          <w:bCs/>
          <w:color w:val="000000"/>
          <w:sz w:val="24"/>
        </w:rPr>
        <w:t>.</w:t>
      </w:r>
      <w:r>
        <w:rPr>
          <w:rFonts w:hAnsi="宋体"/>
          <w:bCs/>
          <w:color w:val="000000"/>
          <w:sz w:val="24"/>
        </w:rPr>
        <w:t xml:space="preserve"> 交货方式：</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b/>
          <w:color w:val="000000"/>
          <w:sz w:val="24"/>
        </w:rPr>
      </w:pPr>
      <w:r>
        <w:rPr>
          <w:rFonts w:hAnsi="宋体"/>
          <w:bCs/>
          <w:color w:val="000000"/>
          <w:sz w:val="24"/>
        </w:rPr>
        <w:t>3</w:t>
      </w:r>
      <w:r>
        <w:rPr>
          <w:rFonts w:hint="eastAsia" w:hAnsi="宋体"/>
          <w:bCs/>
          <w:color w:val="000000"/>
          <w:sz w:val="24"/>
        </w:rPr>
        <w:t>.</w:t>
      </w:r>
      <w:r>
        <w:rPr>
          <w:rFonts w:hAnsi="宋体"/>
          <w:bCs/>
          <w:color w:val="000000"/>
          <w:sz w:val="24"/>
        </w:rPr>
        <w:t xml:space="preserve"> 交货地点：</w:t>
      </w:r>
    </w:p>
    <w:p>
      <w:pPr>
        <w:pStyle w:val="7"/>
        <w:keepNext w:val="0"/>
        <w:keepLines w:val="0"/>
        <w:pageBreakBefore w:val="0"/>
        <w:kinsoku/>
        <w:wordWrap/>
        <w:overflowPunct/>
        <w:topLinePunct w:val="0"/>
        <w:bidi w:val="0"/>
        <w:adjustRightInd/>
        <w:snapToGrid/>
        <w:spacing w:line="360" w:lineRule="auto"/>
        <w:ind w:right="0"/>
        <w:textAlignment w:val="auto"/>
        <w:rPr>
          <w:rFonts w:hAnsi="宋体"/>
          <w:b/>
          <w:color w:val="000000"/>
          <w:sz w:val="24"/>
        </w:rPr>
      </w:pPr>
      <w:r>
        <w:rPr>
          <w:rFonts w:hint="eastAsia" w:hAnsi="宋体"/>
          <w:b/>
          <w:color w:val="000000"/>
          <w:sz w:val="24"/>
          <w:lang w:eastAsia="zh-CN"/>
        </w:rPr>
        <w:t>九</w:t>
      </w:r>
      <w:r>
        <w:rPr>
          <w:rFonts w:hAnsi="宋体"/>
          <w:b/>
          <w:color w:val="000000"/>
          <w:sz w:val="24"/>
        </w:rPr>
        <w:t>、货款支付</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int="eastAsia" w:hAnsi="Times New Roman"/>
          <w:color w:val="auto"/>
          <w:sz w:val="24"/>
          <w:lang w:val="en-US" w:eastAsia="zh-CN"/>
        </w:rPr>
      </w:pPr>
      <w:r>
        <w:rPr>
          <w:rFonts w:hAnsi="宋体"/>
          <w:bCs/>
          <w:sz w:val="24"/>
        </w:rPr>
        <w:t>1</w:t>
      </w:r>
      <w:r>
        <w:rPr>
          <w:rFonts w:hint="eastAsia" w:hAnsi="宋体"/>
          <w:bCs/>
          <w:sz w:val="24"/>
        </w:rPr>
        <w:t>.</w:t>
      </w:r>
      <w:r>
        <w:rPr>
          <w:rFonts w:hAnsi="宋体"/>
          <w:bCs/>
          <w:sz w:val="24"/>
        </w:rPr>
        <w:t xml:space="preserve"> 付款方式：</w:t>
      </w:r>
      <w:r>
        <w:rPr>
          <w:rFonts w:hint="eastAsia" w:hAnsi="Times New Roman"/>
          <w:sz w:val="24"/>
          <w:lang w:val="zh-CN"/>
        </w:rPr>
        <w:t>自合同签订后，</w:t>
      </w:r>
      <w:r>
        <w:rPr>
          <w:rFonts w:hint="eastAsia" w:hAnsi="Times New Roman"/>
          <w:color w:val="auto"/>
          <w:sz w:val="24"/>
          <w:lang w:val="en-US" w:eastAsia="zh-CN"/>
        </w:rPr>
        <w:t>设备安装调试完毕且初验合格付75%，配合会议系统联调完毕并验收合格付到97%，3%作为质保金，在验收合格之日满一年后无质量与服务问题10个工作日内付3%.</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pPr>
      <w:r>
        <w:rPr>
          <w:rFonts w:hint="default" w:hAnsi="宋体"/>
          <w:bCs/>
          <w:sz w:val="24"/>
          <w:lang w:val="zh-CN"/>
        </w:rPr>
        <w:t>2.当采</w:t>
      </w:r>
      <w:r>
        <w:rPr>
          <w:rFonts w:hint="eastAsia" w:hAnsi="Times New Roman"/>
          <w:sz w:val="24"/>
          <w:lang w:val="zh-CN"/>
        </w:rPr>
        <w:t>购数量与实际使用数量不一致时，由乙方根据实际使用量供货，合同的最终结算金额按实际使用量乘以成交单价进行计算。</w:t>
      </w:r>
    </w:p>
    <w:p>
      <w:pPr>
        <w:keepNext w:val="0"/>
        <w:keepLines w:val="0"/>
        <w:pageBreakBefore w:val="0"/>
        <w:kinsoku/>
        <w:wordWrap/>
        <w:overflowPunct/>
        <w:topLinePunct w:val="0"/>
        <w:bidi w:val="0"/>
        <w:adjustRightInd/>
        <w:snapToGrid/>
        <w:spacing w:line="360" w:lineRule="auto"/>
        <w:ind w:right="0"/>
        <w:textAlignment w:val="auto"/>
        <w:rPr>
          <w:rFonts w:ascii="宋体" w:hAnsi="宋体"/>
          <w:b/>
          <w:color w:val="000000"/>
          <w:sz w:val="24"/>
        </w:rPr>
      </w:pPr>
      <w:r>
        <w:rPr>
          <w:rFonts w:hint="eastAsia" w:ascii="宋体" w:hAnsi="宋体"/>
          <w:b/>
          <w:color w:val="000000"/>
          <w:sz w:val="24"/>
        </w:rPr>
        <w:t>十、税费</w:t>
      </w:r>
    </w:p>
    <w:p>
      <w:pPr>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ascii="宋体" w:hAnsi="宋体"/>
          <w:color w:val="000000"/>
          <w:sz w:val="24"/>
        </w:rPr>
      </w:pPr>
      <w:r>
        <w:rPr>
          <w:rFonts w:hint="eastAsia" w:ascii="宋体" w:hAnsi="宋体"/>
          <w:color w:val="000000"/>
          <w:sz w:val="24"/>
        </w:rPr>
        <w:t>本合同执行中相关的一切税费均由</w:t>
      </w:r>
      <w:r>
        <w:rPr>
          <w:rFonts w:ascii="宋体" w:hAnsi="宋体"/>
          <w:color w:val="000000"/>
          <w:sz w:val="24"/>
        </w:rPr>
        <w:t>乙</w:t>
      </w:r>
      <w:r>
        <w:rPr>
          <w:rFonts w:hint="eastAsia" w:ascii="宋体" w:hAnsi="宋体"/>
          <w:color w:val="000000"/>
          <w:sz w:val="24"/>
        </w:rPr>
        <w:t>方负担。</w:t>
      </w:r>
    </w:p>
    <w:p>
      <w:pPr>
        <w:pStyle w:val="7"/>
        <w:keepNext w:val="0"/>
        <w:keepLines w:val="0"/>
        <w:pageBreakBefore w:val="0"/>
        <w:kinsoku/>
        <w:wordWrap/>
        <w:overflowPunct/>
        <w:topLinePunct w:val="0"/>
        <w:bidi w:val="0"/>
        <w:adjustRightInd/>
        <w:snapToGrid/>
        <w:spacing w:line="360" w:lineRule="auto"/>
        <w:ind w:right="0"/>
        <w:textAlignment w:val="auto"/>
        <w:rPr>
          <w:rFonts w:hAnsi="宋体"/>
          <w:sz w:val="24"/>
        </w:rPr>
      </w:pPr>
      <w:r>
        <w:rPr>
          <w:rFonts w:hAnsi="宋体"/>
          <w:b/>
          <w:sz w:val="24"/>
        </w:rPr>
        <w:t>十</w:t>
      </w:r>
      <w:r>
        <w:rPr>
          <w:rFonts w:hint="eastAsia" w:hAnsi="宋体"/>
          <w:b/>
          <w:sz w:val="24"/>
          <w:lang w:eastAsia="zh-CN"/>
        </w:rPr>
        <w:t>一</w:t>
      </w:r>
      <w:r>
        <w:rPr>
          <w:rFonts w:hAnsi="宋体"/>
          <w:b/>
          <w:sz w:val="24"/>
        </w:rPr>
        <w:t>、质量保证及售后服务</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1</w:t>
      </w:r>
      <w:r>
        <w:rPr>
          <w:rFonts w:hint="eastAsia" w:hAnsi="宋体"/>
          <w:sz w:val="24"/>
        </w:rPr>
        <w:t>.</w:t>
      </w:r>
      <w:r>
        <w:rPr>
          <w:rFonts w:hAnsi="宋体"/>
          <w:sz w:val="24"/>
        </w:rPr>
        <w:t xml:space="preserve"> 乙方应按</w:t>
      </w:r>
      <w:r>
        <w:rPr>
          <w:rFonts w:hint="eastAsia" w:hAnsi="宋体"/>
          <w:sz w:val="24"/>
        </w:rPr>
        <w:t>采购</w:t>
      </w:r>
      <w:r>
        <w:rPr>
          <w:rFonts w:hAnsi="宋体"/>
          <w:sz w:val="24"/>
        </w:rPr>
        <w:t>文件规定的货物性能、技术要求、质量标准向甲方提供未经使用的全新产品。</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2</w:t>
      </w:r>
      <w:r>
        <w:rPr>
          <w:rFonts w:hint="eastAsia" w:hAnsi="宋体"/>
          <w:sz w:val="24"/>
        </w:rPr>
        <w:t>.</w:t>
      </w:r>
      <w:r>
        <w:rPr>
          <w:rFonts w:hAnsi="宋体"/>
          <w:sz w:val="24"/>
        </w:rPr>
        <w:t xml:space="preserve"> 乙方提供的货物在质</w:t>
      </w:r>
      <w:r>
        <w:rPr>
          <w:rFonts w:hint="eastAsia" w:hAnsi="宋体"/>
          <w:sz w:val="24"/>
        </w:rPr>
        <w:t>保</w:t>
      </w:r>
      <w:r>
        <w:rPr>
          <w:rFonts w:hAnsi="宋体"/>
          <w:sz w:val="24"/>
        </w:rPr>
        <w:t>期内因货物本身的质量问题发生故障，乙方应负责免费更换。对达不到技术要求者，根据实际情况，经双方协商，可按以下办法处理：</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⑴更换：由乙方承担所发生的全部费用。</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⑵贬值处理：由甲乙双方合议定价。</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⑶退货处理：乙方应退还甲方支付的合同款，同时应承担该货物的直接费用（运输、保险、检验、货款利息及银行手续费等）。</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3</w:t>
      </w:r>
      <w:r>
        <w:rPr>
          <w:rFonts w:hint="eastAsia" w:hAnsi="宋体"/>
          <w:sz w:val="24"/>
        </w:rPr>
        <w:t>.</w:t>
      </w:r>
      <w:r>
        <w:rPr>
          <w:rFonts w:hAnsi="宋体"/>
          <w:sz w:val="24"/>
        </w:rPr>
        <w:t xml:space="preserve"> 如在使用过程中发生质量问题，乙方在接到甲方通知后</w:t>
      </w:r>
      <w:r>
        <w:rPr>
          <w:rFonts w:hAnsi="宋体"/>
          <w:color w:val="000000"/>
          <w:sz w:val="24"/>
        </w:rPr>
        <w:t>在</w:t>
      </w:r>
      <w:r>
        <w:rPr>
          <w:rFonts w:hint="eastAsia" w:hAnsi="宋体"/>
          <w:color w:val="auto"/>
          <w:sz w:val="24"/>
          <w:u w:val="single"/>
          <w:lang w:val="en-US" w:eastAsia="zh-CN"/>
        </w:rPr>
        <w:t xml:space="preserve"> 2 </w:t>
      </w:r>
      <w:r>
        <w:rPr>
          <w:rFonts w:hAnsi="宋体"/>
          <w:color w:val="000000"/>
          <w:sz w:val="24"/>
        </w:rPr>
        <w:t>小时</w:t>
      </w:r>
      <w:r>
        <w:rPr>
          <w:rFonts w:hAnsi="宋体"/>
          <w:sz w:val="24"/>
        </w:rPr>
        <w:t>内到达甲方现场。</w:t>
      </w:r>
    </w:p>
    <w:p>
      <w:pPr>
        <w:pStyle w:val="7"/>
        <w:keepNext w:val="0"/>
        <w:keepLines w:val="0"/>
        <w:pageBreakBefore w:val="0"/>
        <w:widowControl w:val="0"/>
        <w:kinsoku/>
        <w:wordWrap/>
        <w:overflowPunct/>
        <w:topLinePunct w:val="0"/>
        <w:autoSpaceDE/>
        <w:autoSpaceDN/>
        <w:bidi w:val="0"/>
        <w:adjustRightInd w:val="0"/>
        <w:snapToGrid/>
        <w:spacing w:line="360" w:lineRule="auto"/>
        <w:ind w:left="0" w:leftChars="0" w:right="0" w:firstLine="480" w:firstLineChars="200"/>
        <w:textAlignment w:val="auto"/>
        <w:rPr>
          <w:rFonts w:hAnsi="宋体"/>
          <w:sz w:val="24"/>
        </w:rPr>
      </w:pPr>
      <w:r>
        <w:rPr>
          <w:rFonts w:hAnsi="宋体"/>
          <w:sz w:val="24"/>
        </w:rPr>
        <w:t>4</w:t>
      </w:r>
      <w:r>
        <w:rPr>
          <w:rFonts w:hint="eastAsia" w:hAnsi="宋体"/>
          <w:sz w:val="24"/>
        </w:rPr>
        <w:t>.</w:t>
      </w:r>
      <w:r>
        <w:rPr>
          <w:rFonts w:hAnsi="宋体"/>
          <w:sz w:val="24"/>
        </w:rPr>
        <w:t xml:space="preserve"> 在质保期内，乙方应对货物出现的质量及安全问题负责处理解决并承担一切费用。</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color w:val="000000"/>
          <w:sz w:val="24"/>
        </w:rPr>
      </w:pPr>
      <w:r>
        <w:rPr>
          <w:rFonts w:hAnsi="宋体"/>
          <w:sz w:val="24"/>
        </w:rPr>
        <w:t>5</w:t>
      </w:r>
      <w:r>
        <w:rPr>
          <w:rFonts w:hint="eastAsia" w:hAnsi="宋体"/>
          <w:sz w:val="24"/>
        </w:rPr>
        <w:t>.</w:t>
      </w:r>
      <w:r>
        <w:rPr>
          <w:rFonts w:hAnsi="宋体"/>
          <w:color w:val="000000"/>
          <w:sz w:val="24"/>
        </w:rPr>
        <w:t>上述的</w:t>
      </w:r>
      <w:r>
        <w:rPr>
          <w:rFonts w:hAnsi="宋体"/>
          <w:sz w:val="24"/>
        </w:rPr>
        <w:t>货物</w:t>
      </w:r>
      <w:r>
        <w:rPr>
          <w:rFonts w:hAnsi="宋体"/>
          <w:color w:val="000000"/>
          <w:sz w:val="24"/>
        </w:rPr>
        <w:t>免费保修期为</w:t>
      </w:r>
      <w:r>
        <w:rPr>
          <w:rFonts w:hint="eastAsia" w:hAnsi="宋体"/>
          <w:color w:val="auto"/>
          <w:sz w:val="24"/>
          <w:lang w:val="en-US" w:eastAsia="zh-CN"/>
        </w:rPr>
        <w:t>年</w:t>
      </w:r>
      <w:r>
        <w:rPr>
          <w:rFonts w:hAnsi="宋体"/>
          <w:color w:val="000000"/>
          <w:sz w:val="24"/>
        </w:rPr>
        <w:t>，因人为因素出现的故障不在免费保修范围内。超过保修期的机器设备，终生维修，维修时只收部件成本费。</w:t>
      </w:r>
    </w:p>
    <w:p>
      <w:pPr>
        <w:pStyle w:val="7"/>
        <w:keepNext w:val="0"/>
        <w:keepLines w:val="0"/>
        <w:pageBreakBefore w:val="0"/>
        <w:kinsoku/>
        <w:wordWrap/>
        <w:overflowPunct/>
        <w:topLinePunct w:val="0"/>
        <w:bidi w:val="0"/>
        <w:adjustRightInd/>
        <w:snapToGrid/>
        <w:spacing w:line="360" w:lineRule="auto"/>
        <w:ind w:right="0"/>
        <w:textAlignment w:val="auto"/>
        <w:rPr>
          <w:rFonts w:hAnsi="宋体"/>
          <w:b/>
          <w:sz w:val="24"/>
        </w:rPr>
      </w:pPr>
      <w:r>
        <w:rPr>
          <w:rFonts w:hAnsi="宋体"/>
          <w:b/>
          <w:sz w:val="24"/>
        </w:rPr>
        <w:t>十</w:t>
      </w:r>
      <w:r>
        <w:rPr>
          <w:rFonts w:hint="eastAsia" w:hAnsi="宋体"/>
          <w:b/>
          <w:sz w:val="24"/>
          <w:lang w:eastAsia="zh-CN"/>
        </w:rPr>
        <w:t>二</w:t>
      </w:r>
      <w:r>
        <w:rPr>
          <w:rFonts w:hAnsi="宋体"/>
          <w:b/>
          <w:sz w:val="24"/>
        </w:rPr>
        <w:t>、调试和验收</w:t>
      </w:r>
    </w:p>
    <w:p>
      <w:pPr>
        <w:pStyle w:val="7"/>
        <w:keepNext w:val="0"/>
        <w:keepLines w:val="0"/>
        <w:pageBreakBefore w:val="0"/>
        <w:kinsoku/>
        <w:wordWrap/>
        <w:overflowPunct/>
        <w:topLinePunct w:val="0"/>
        <w:bidi w:val="0"/>
        <w:adjustRightInd/>
        <w:snapToGrid/>
        <w:spacing w:line="360" w:lineRule="auto"/>
        <w:ind w:left="0" w:leftChars="0" w:right="0" w:firstLine="480" w:firstLineChars="200"/>
        <w:jc w:val="left"/>
        <w:textAlignment w:val="auto"/>
        <w:rPr>
          <w:rFonts w:hAnsi="宋体"/>
          <w:sz w:val="24"/>
        </w:rPr>
      </w:pPr>
      <w:r>
        <w:rPr>
          <w:rFonts w:hAnsi="宋体"/>
          <w:sz w:val="24"/>
        </w:rPr>
        <w:t>1</w:t>
      </w:r>
      <w:r>
        <w:rPr>
          <w:rFonts w:hint="eastAsia" w:hAnsi="宋体"/>
          <w:sz w:val="24"/>
        </w:rPr>
        <w:t>.</w:t>
      </w:r>
      <w:r>
        <w:rPr>
          <w:rFonts w:hAnsi="宋体"/>
          <w:sz w:val="24"/>
        </w:rPr>
        <w:t xml:space="preserve"> 甲方对乙方提交的货物依据</w:t>
      </w:r>
      <w:r>
        <w:rPr>
          <w:rFonts w:hint="eastAsia" w:hAnsi="宋体"/>
          <w:sz w:val="24"/>
        </w:rPr>
        <w:t>采购</w:t>
      </w:r>
      <w:r>
        <w:rPr>
          <w:rFonts w:hAnsi="宋体"/>
          <w:sz w:val="24"/>
        </w:rPr>
        <w:t>文件上的技术规格要求和国家有关质量标准进行现场初步验收，外观、说明书符合</w:t>
      </w:r>
      <w:r>
        <w:rPr>
          <w:rFonts w:hint="eastAsia" w:hAnsi="宋体"/>
          <w:sz w:val="24"/>
        </w:rPr>
        <w:t>采购</w:t>
      </w:r>
      <w:r>
        <w:rPr>
          <w:rFonts w:hAnsi="宋体"/>
          <w:sz w:val="24"/>
        </w:rPr>
        <w:t>文件技术要求的，给予签收，初步验收不合格的不予签收。货到后，甲方需在</w:t>
      </w:r>
      <w:r>
        <w:rPr>
          <w:rFonts w:hint="eastAsia" w:hAnsi="宋体"/>
          <w:color w:val="auto"/>
          <w:sz w:val="24"/>
          <w:u w:val="single"/>
        </w:rPr>
        <w:t>五</w:t>
      </w:r>
      <w:r>
        <w:rPr>
          <w:rFonts w:hint="eastAsia" w:hAnsi="宋体"/>
          <w:sz w:val="24"/>
        </w:rPr>
        <w:t>个</w:t>
      </w:r>
      <w:r>
        <w:rPr>
          <w:rFonts w:hAnsi="宋体"/>
          <w:sz w:val="24"/>
        </w:rPr>
        <w:t>工作日内验收。</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2</w:t>
      </w:r>
      <w:r>
        <w:rPr>
          <w:rFonts w:hint="eastAsia" w:hAnsi="宋体"/>
          <w:sz w:val="24"/>
        </w:rPr>
        <w:t>.</w:t>
      </w:r>
      <w:r>
        <w:rPr>
          <w:rFonts w:hAnsi="宋体"/>
          <w:sz w:val="24"/>
        </w:rPr>
        <w:t xml:space="preserve"> 乙方交货前应对产品作出全面检查和对验收文件进行整理，并列出清单，作为甲方收货验收和使用的技术条件依据，检验的结果应随货物交甲方。</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u w:val="single"/>
        </w:rPr>
      </w:pPr>
      <w:r>
        <w:rPr>
          <w:rFonts w:hAnsi="宋体"/>
          <w:sz w:val="24"/>
        </w:rPr>
        <w:t>3</w:t>
      </w:r>
      <w:r>
        <w:rPr>
          <w:rFonts w:hint="eastAsia" w:hAnsi="宋体"/>
          <w:sz w:val="24"/>
        </w:rPr>
        <w:t>.</w:t>
      </w:r>
      <w:r>
        <w:rPr>
          <w:rFonts w:hAnsi="宋体"/>
          <w:sz w:val="24"/>
        </w:rPr>
        <w:t xml:space="preserve"> 甲方对乙方提供的货物在使用前进行调试时，乙方需负责安装并培训甲方的使用操作人员，并协助甲方一起调试，直到符合技术要求，甲方才做最终验收。</w:t>
      </w:r>
    </w:p>
    <w:p>
      <w:pPr>
        <w:pStyle w:val="7"/>
        <w:keepNext w:val="0"/>
        <w:keepLines w:val="0"/>
        <w:pageBreakBefore w:val="0"/>
        <w:kinsoku/>
        <w:wordWrap/>
        <w:overflowPunct/>
        <w:topLinePunct w:val="0"/>
        <w:bidi w:val="0"/>
        <w:adjustRightInd/>
        <w:snapToGrid/>
        <w:spacing w:line="360" w:lineRule="auto"/>
        <w:ind w:right="0"/>
        <w:textAlignment w:val="auto"/>
        <w:rPr>
          <w:rFonts w:hAnsi="宋体"/>
          <w:b/>
          <w:sz w:val="24"/>
        </w:rPr>
      </w:pPr>
      <w:r>
        <w:rPr>
          <w:rFonts w:hAnsi="宋体"/>
          <w:b/>
          <w:sz w:val="24"/>
        </w:rPr>
        <w:t>十</w:t>
      </w:r>
      <w:r>
        <w:rPr>
          <w:rFonts w:hint="eastAsia" w:hAnsi="宋体"/>
          <w:b/>
          <w:sz w:val="24"/>
          <w:lang w:eastAsia="zh-CN"/>
        </w:rPr>
        <w:t>三</w:t>
      </w:r>
      <w:r>
        <w:rPr>
          <w:rFonts w:hAnsi="宋体"/>
          <w:b/>
          <w:sz w:val="24"/>
        </w:rPr>
        <w:t>、货物包装、发运及运输</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1</w:t>
      </w:r>
      <w:r>
        <w:rPr>
          <w:rFonts w:hint="eastAsia" w:hAnsi="宋体"/>
          <w:sz w:val="24"/>
        </w:rPr>
        <w:t>.</w:t>
      </w:r>
      <w:r>
        <w:rPr>
          <w:rFonts w:hAnsi="宋体"/>
          <w:sz w:val="24"/>
        </w:rPr>
        <w:t xml:space="preserve"> 乙方应在货物发运前对其进行满足运输距离、防潮、防震、防锈和防破损装卸等要求包装，以保证货物安全运达甲方指定地点。</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2</w:t>
      </w:r>
      <w:r>
        <w:rPr>
          <w:rFonts w:hint="eastAsia" w:hAnsi="宋体"/>
          <w:sz w:val="24"/>
        </w:rPr>
        <w:t>.</w:t>
      </w:r>
      <w:r>
        <w:rPr>
          <w:rFonts w:hAnsi="宋体"/>
          <w:sz w:val="24"/>
        </w:rPr>
        <w:t xml:space="preserve"> 使用说明书、质量检验证明书、随配附件和工具以及清单一并附于货物内。</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3</w:t>
      </w:r>
      <w:r>
        <w:rPr>
          <w:rFonts w:hint="eastAsia" w:hAnsi="宋体"/>
          <w:sz w:val="24"/>
        </w:rPr>
        <w:t>.</w:t>
      </w:r>
      <w:r>
        <w:rPr>
          <w:rFonts w:hAnsi="宋体"/>
          <w:sz w:val="24"/>
        </w:rPr>
        <w:t xml:space="preserve"> 乙方在货物发运手续办理完毕后24小时内或货到甲方48小时前通知甲方，以准备接货。</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4</w:t>
      </w:r>
      <w:r>
        <w:rPr>
          <w:rFonts w:hint="eastAsia" w:hAnsi="宋体"/>
          <w:sz w:val="24"/>
        </w:rPr>
        <w:t>.</w:t>
      </w:r>
      <w:r>
        <w:rPr>
          <w:rFonts w:hAnsi="宋体"/>
          <w:sz w:val="24"/>
        </w:rPr>
        <w:t xml:space="preserve"> 货物在交付甲方前发生的风险均由乙方负责。</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5</w:t>
      </w:r>
      <w:r>
        <w:rPr>
          <w:rFonts w:hint="eastAsia" w:hAnsi="宋体"/>
          <w:sz w:val="24"/>
        </w:rPr>
        <w:t>.</w:t>
      </w:r>
      <w:r>
        <w:rPr>
          <w:rFonts w:hAnsi="宋体"/>
          <w:sz w:val="24"/>
        </w:rPr>
        <w:t xml:space="preserve"> 货物在规定的交付期限内由乙方送达甲方指定的地点视为交付，乙方同时需通知甲方货物已送达。</w:t>
      </w:r>
    </w:p>
    <w:p>
      <w:pPr>
        <w:pStyle w:val="7"/>
        <w:keepNext w:val="0"/>
        <w:keepLines w:val="0"/>
        <w:pageBreakBefore w:val="0"/>
        <w:kinsoku/>
        <w:wordWrap/>
        <w:overflowPunct/>
        <w:topLinePunct w:val="0"/>
        <w:bidi w:val="0"/>
        <w:adjustRightInd/>
        <w:snapToGrid/>
        <w:spacing w:line="360" w:lineRule="auto"/>
        <w:ind w:right="0"/>
        <w:textAlignment w:val="auto"/>
        <w:rPr>
          <w:rFonts w:hAnsi="宋体"/>
          <w:b/>
          <w:sz w:val="24"/>
        </w:rPr>
      </w:pPr>
      <w:r>
        <w:rPr>
          <w:rFonts w:hAnsi="宋体"/>
          <w:b/>
          <w:sz w:val="24"/>
        </w:rPr>
        <w:t>十</w:t>
      </w:r>
      <w:r>
        <w:rPr>
          <w:rFonts w:hint="eastAsia" w:hAnsi="宋体"/>
          <w:b/>
          <w:sz w:val="24"/>
          <w:lang w:eastAsia="zh-CN"/>
        </w:rPr>
        <w:t>四</w:t>
      </w:r>
      <w:r>
        <w:rPr>
          <w:rFonts w:hAnsi="宋体"/>
          <w:b/>
          <w:sz w:val="24"/>
        </w:rPr>
        <w:t>、违约责任</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color w:val="auto"/>
          <w:sz w:val="24"/>
        </w:rPr>
      </w:pPr>
      <w:r>
        <w:rPr>
          <w:rFonts w:hAnsi="宋体"/>
          <w:sz w:val="24"/>
        </w:rPr>
        <w:t>1</w:t>
      </w:r>
      <w:r>
        <w:rPr>
          <w:rFonts w:hint="eastAsia" w:hAnsi="宋体"/>
          <w:sz w:val="24"/>
        </w:rPr>
        <w:t>.</w:t>
      </w:r>
      <w:r>
        <w:rPr>
          <w:rFonts w:hAnsi="宋体"/>
          <w:sz w:val="24"/>
        </w:rPr>
        <w:t xml:space="preserve"> 甲方无正当理由拒收货物</w:t>
      </w:r>
      <w:r>
        <w:rPr>
          <w:rFonts w:hAnsi="宋体"/>
          <w:color w:val="auto"/>
          <w:sz w:val="24"/>
        </w:rPr>
        <w:t>的，甲方向乙方偿付拒收货款总值的</w:t>
      </w:r>
      <w:r>
        <w:rPr>
          <w:rFonts w:hAnsi="宋体"/>
          <w:color w:val="auto"/>
          <w:sz w:val="24"/>
          <w:u w:val="single"/>
        </w:rPr>
        <w:t>百分之五</w:t>
      </w:r>
      <w:r>
        <w:rPr>
          <w:rFonts w:hAnsi="宋体"/>
          <w:color w:val="auto"/>
          <w:sz w:val="24"/>
        </w:rPr>
        <w:t>违约金。</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color w:val="auto"/>
          <w:sz w:val="24"/>
        </w:rPr>
      </w:pPr>
      <w:r>
        <w:rPr>
          <w:rFonts w:hAnsi="宋体"/>
          <w:color w:val="auto"/>
          <w:sz w:val="24"/>
        </w:rPr>
        <w:t>2</w:t>
      </w:r>
      <w:r>
        <w:rPr>
          <w:rFonts w:hint="eastAsia" w:hAnsi="宋体"/>
          <w:color w:val="auto"/>
          <w:sz w:val="24"/>
        </w:rPr>
        <w:t>.</w:t>
      </w:r>
      <w:r>
        <w:rPr>
          <w:rFonts w:hAnsi="宋体"/>
          <w:color w:val="auto"/>
          <w:sz w:val="24"/>
        </w:rPr>
        <w:t xml:space="preserve"> 甲方无故逾期验收和办理货款支付手续的,甲方应按逾期付款总额每日</w:t>
      </w:r>
      <w:r>
        <w:rPr>
          <w:rFonts w:hAnsi="宋体"/>
          <w:color w:val="auto"/>
          <w:sz w:val="24"/>
          <w:u w:val="single"/>
        </w:rPr>
        <w:t>万分之五</w:t>
      </w:r>
      <w:r>
        <w:rPr>
          <w:rFonts w:hAnsi="宋体"/>
          <w:color w:val="auto"/>
          <w:sz w:val="24"/>
        </w:rPr>
        <w:t>向乙方支付违约金。</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color w:val="auto"/>
          <w:sz w:val="24"/>
        </w:rPr>
        <w:t>3</w:t>
      </w:r>
      <w:r>
        <w:rPr>
          <w:rFonts w:hint="eastAsia" w:hAnsi="宋体"/>
          <w:color w:val="auto"/>
          <w:sz w:val="24"/>
        </w:rPr>
        <w:t>.</w:t>
      </w:r>
      <w:r>
        <w:rPr>
          <w:rFonts w:hAnsi="宋体"/>
          <w:color w:val="auto"/>
          <w:sz w:val="24"/>
        </w:rPr>
        <w:t xml:space="preserve"> 乙方逾期交付货物的，乙方应按逾期交货总额每日</w:t>
      </w:r>
      <w:r>
        <w:rPr>
          <w:rFonts w:hAnsi="宋体"/>
          <w:color w:val="auto"/>
          <w:sz w:val="24"/>
          <w:u w:val="single"/>
        </w:rPr>
        <w:t>千分之六</w:t>
      </w:r>
      <w:r>
        <w:rPr>
          <w:rFonts w:hAnsi="宋体"/>
          <w:color w:val="auto"/>
          <w:sz w:val="24"/>
        </w:rPr>
        <w:t>向甲方支付违约金，由甲方从待付货款中扣除。逾期超过约定日期</w:t>
      </w:r>
      <w:r>
        <w:rPr>
          <w:rFonts w:hAnsi="宋体"/>
          <w:color w:val="auto"/>
          <w:sz w:val="24"/>
          <w:u w:val="single"/>
        </w:rPr>
        <w:t>10</w:t>
      </w:r>
      <w:r>
        <w:rPr>
          <w:rFonts w:hAnsi="宋体"/>
          <w:color w:val="auto"/>
          <w:sz w:val="24"/>
        </w:rPr>
        <w:t>个工作日不能交货的，甲方可解除本合同。乙方因逾期交货或因其他违约行为导致甲方解除合同的，乙方应向甲方支付合同总值</w:t>
      </w:r>
      <w:r>
        <w:rPr>
          <w:rFonts w:hAnsi="宋体"/>
          <w:color w:val="auto"/>
          <w:sz w:val="24"/>
          <w:u w:val="single"/>
        </w:rPr>
        <w:t>5%</w:t>
      </w:r>
      <w:r>
        <w:rPr>
          <w:rFonts w:hAnsi="宋体"/>
          <w:color w:val="auto"/>
          <w:sz w:val="24"/>
        </w:rPr>
        <w:t>的违约金，如造</w:t>
      </w:r>
      <w:r>
        <w:rPr>
          <w:rFonts w:hAnsi="宋体"/>
          <w:sz w:val="24"/>
        </w:rPr>
        <w:t xml:space="preserve">成甲方损失超过违约金的，超出部分由乙方继续承担赔偿责任。 </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4</w:t>
      </w:r>
      <w:r>
        <w:rPr>
          <w:rFonts w:hint="eastAsia" w:hAnsi="宋体"/>
          <w:sz w:val="24"/>
        </w:rPr>
        <w:t>.</w:t>
      </w:r>
      <w:r>
        <w:rPr>
          <w:rFonts w:hAnsi="宋体"/>
          <w:sz w:val="24"/>
        </w:rPr>
        <w:t xml:space="preserve"> 乙方所交的货物品种、型号、规格、技术参数、质量不符合合同规定及</w:t>
      </w:r>
      <w:r>
        <w:rPr>
          <w:rFonts w:hint="eastAsia" w:hAnsi="宋体"/>
          <w:sz w:val="24"/>
        </w:rPr>
        <w:t>采购</w:t>
      </w:r>
      <w:r>
        <w:rPr>
          <w:rFonts w:hAnsi="宋体"/>
          <w:sz w:val="24"/>
        </w:rPr>
        <w:t>文件规定标准的，甲方有权拒收该货物，乙方愿意更换货物但逾期交货的，按乙方逾期交货处理。乙方拒绝更换货物的，甲方可单方面解除合同。</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int="eastAsia" w:hAnsi="宋体"/>
          <w:sz w:val="24"/>
        </w:rPr>
      </w:pPr>
      <w:r>
        <w:rPr>
          <w:rFonts w:hint="eastAsia" w:hAnsi="宋体"/>
          <w:sz w:val="24"/>
        </w:rPr>
        <w:t>5.若发生纠纷，由违约方赔偿守约方因纠纷所支付的费用（包括但不限于律师费、差旅费、诉讼费、保全费、鉴定费、评估费等）</w:t>
      </w:r>
    </w:p>
    <w:p>
      <w:pPr>
        <w:pStyle w:val="7"/>
        <w:keepNext w:val="0"/>
        <w:keepLines w:val="0"/>
        <w:pageBreakBefore w:val="0"/>
        <w:kinsoku/>
        <w:wordWrap/>
        <w:overflowPunct/>
        <w:topLinePunct w:val="0"/>
        <w:bidi w:val="0"/>
        <w:adjustRightInd/>
        <w:snapToGrid/>
        <w:spacing w:line="360" w:lineRule="auto"/>
        <w:ind w:right="0"/>
        <w:textAlignment w:val="auto"/>
        <w:rPr>
          <w:rFonts w:hAnsi="宋体"/>
          <w:b/>
          <w:sz w:val="24"/>
        </w:rPr>
      </w:pPr>
      <w:r>
        <w:rPr>
          <w:rFonts w:hAnsi="宋体"/>
          <w:b/>
          <w:sz w:val="24"/>
        </w:rPr>
        <w:t>十</w:t>
      </w:r>
      <w:r>
        <w:rPr>
          <w:rFonts w:hint="eastAsia" w:hAnsi="宋体"/>
          <w:b/>
          <w:sz w:val="24"/>
          <w:lang w:eastAsia="zh-CN"/>
        </w:rPr>
        <w:t>五</w:t>
      </w:r>
      <w:r>
        <w:rPr>
          <w:rFonts w:hAnsi="宋体"/>
          <w:b/>
          <w:sz w:val="24"/>
        </w:rPr>
        <w:t>、不可抗力事件处理</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1</w:t>
      </w:r>
      <w:r>
        <w:rPr>
          <w:rFonts w:hint="eastAsia" w:hAnsi="宋体"/>
          <w:sz w:val="24"/>
        </w:rPr>
        <w:t>.</w:t>
      </w:r>
      <w:r>
        <w:rPr>
          <w:rFonts w:hAnsi="宋体"/>
          <w:sz w:val="24"/>
        </w:rPr>
        <w:t xml:space="preserve"> 在合同有效期内，任何一方因不可抗力事件导致不能履行合同，则合同履行期可延长，其延长期与不可抗力影响期相同。</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2</w:t>
      </w:r>
      <w:r>
        <w:rPr>
          <w:rFonts w:hint="eastAsia" w:hAnsi="宋体"/>
          <w:sz w:val="24"/>
        </w:rPr>
        <w:t>.</w:t>
      </w:r>
      <w:r>
        <w:rPr>
          <w:rFonts w:hAnsi="宋体"/>
          <w:sz w:val="24"/>
        </w:rPr>
        <w:t xml:space="preserve"> 不可抗力事件发生后，应立即通知对方，并寄送有关权威机构出具的证明。</w:t>
      </w:r>
    </w:p>
    <w:p>
      <w:pPr>
        <w:pStyle w:val="7"/>
        <w:keepNext w:val="0"/>
        <w:keepLines w:val="0"/>
        <w:pageBreakBefore w:val="0"/>
        <w:kinsoku/>
        <w:wordWrap/>
        <w:overflowPunct/>
        <w:topLinePunct w:val="0"/>
        <w:bidi w:val="0"/>
        <w:adjustRightInd/>
        <w:snapToGrid/>
        <w:spacing w:line="360" w:lineRule="auto"/>
        <w:ind w:left="0" w:leftChars="0" w:right="0" w:firstLine="480" w:firstLineChars="200"/>
        <w:textAlignment w:val="auto"/>
        <w:rPr>
          <w:rFonts w:hAnsi="宋体"/>
          <w:sz w:val="24"/>
        </w:rPr>
      </w:pPr>
      <w:r>
        <w:rPr>
          <w:rFonts w:hAnsi="宋体"/>
          <w:sz w:val="24"/>
        </w:rPr>
        <w:t>3</w:t>
      </w:r>
      <w:r>
        <w:rPr>
          <w:rFonts w:hint="eastAsia" w:hAnsi="宋体"/>
          <w:sz w:val="24"/>
        </w:rPr>
        <w:t>.</w:t>
      </w:r>
      <w:r>
        <w:rPr>
          <w:rFonts w:hAnsi="宋体"/>
          <w:sz w:val="24"/>
        </w:rPr>
        <w:t xml:space="preserve"> 不可抗力事件延续120天以上，双方应通过友好协商，确定是否继续履行合同。</w:t>
      </w:r>
    </w:p>
    <w:p>
      <w:pPr>
        <w:pStyle w:val="7"/>
        <w:keepNext w:val="0"/>
        <w:keepLines w:val="0"/>
        <w:pageBreakBefore w:val="0"/>
        <w:kinsoku/>
        <w:wordWrap/>
        <w:overflowPunct/>
        <w:topLinePunct w:val="0"/>
        <w:bidi w:val="0"/>
        <w:adjustRightInd/>
        <w:snapToGrid/>
        <w:spacing w:line="360" w:lineRule="auto"/>
        <w:ind w:right="0"/>
        <w:textAlignment w:val="auto"/>
        <w:rPr>
          <w:rFonts w:hAnsi="宋体"/>
          <w:b/>
          <w:sz w:val="24"/>
        </w:rPr>
      </w:pPr>
      <w:r>
        <w:rPr>
          <w:rFonts w:hAnsi="宋体"/>
          <w:b/>
          <w:sz w:val="24"/>
        </w:rPr>
        <w:t>十</w:t>
      </w:r>
      <w:r>
        <w:rPr>
          <w:rFonts w:hint="eastAsia" w:hAnsi="宋体"/>
          <w:b/>
          <w:sz w:val="24"/>
          <w:lang w:eastAsia="zh-CN"/>
        </w:rPr>
        <w:t>六</w:t>
      </w:r>
      <w:r>
        <w:rPr>
          <w:rFonts w:hAnsi="宋体"/>
          <w:b/>
          <w:sz w:val="24"/>
        </w:rPr>
        <w:t>、</w:t>
      </w:r>
      <w:r>
        <w:rPr>
          <w:rFonts w:hint="eastAsia" w:hAnsi="宋体"/>
          <w:b/>
          <w:sz w:val="24"/>
        </w:rPr>
        <w:t>解决争议的方法</w:t>
      </w:r>
    </w:p>
    <w:p>
      <w:pPr>
        <w:pStyle w:val="7"/>
        <w:keepNext w:val="0"/>
        <w:keepLines w:val="0"/>
        <w:pageBreakBefore w:val="0"/>
        <w:tabs>
          <w:tab w:val="left" w:pos="5790"/>
        </w:tabs>
        <w:kinsoku/>
        <w:wordWrap/>
        <w:overflowPunct/>
        <w:topLinePunct w:val="0"/>
        <w:bidi w:val="0"/>
        <w:adjustRightInd/>
        <w:snapToGrid/>
        <w:spacing w:line="360" w:lineRule="auto"/>
        <w:ind w:left="0" w:leftChars="0" w:right="0" w:firstLine="480" w:firstLineChars="200"/>
        <w:textAlignment w:val="auto"/>
        <w:rPr>
          <w:rFonts w:hAnsi="宋体"/>
          <w:b/>
          <w:sz w:val="24"/>
        </w:rPr>
      </w:pPr>
      <w:r>
        <w:rPr>
          <w:rFonts w:hint="eastAsia" w:hAnsi="宋体" w:cs="宋体"/>
          <w:kern w:val="0"/>
          <w:sz w:val="24"/>
          <w:lang w:bidi="ar"/>
        </w:rPr>
        <w:t xml:space="preserve">1. </w:t>
      </w:r>
      <w:r>
        <w:rPr>
          <w:rFonts w:hAnsi="宋体" w:cs="宋体"/>
          <w:kern w:val="0"/>
          <w:sz w:val="24"/>
          <w:lang w:bidi="ar"/>
        </w:rPr>
        <w:t>如双方在履行合同时发生纠纷，应协商解决；协商不成时，可提请政府采购管理部门调解；调解不成的通过以下方式解决：</w:t>
      </w:r>
      <w:r>
        <w:rPr>
          <w:rFonts w:hAnsi="宋体" w:cs="宋体"/>
          <w:color w:val="000000"/>
          <w:kern w:val="0"/>
          <w:sz w:val="24"/>
          <w:lang w:bidi="ar"/>
        </w:rPr>
        <w:t>依法向</w:t>
      </w:r>
      <w:r>
        <w:rPr>
          <w:rFonts w:hint="eastAsia" w:hAnsi="宋体" w:cs="宋体"/>
          <w:color w:val="000000"/>
          <w:kern w:val="0"/>
          <w:sz w:val="24"/>
          <w:lang w:val="en-US" w:eastAsia="zh-CN" w:bidi="ar"/>
        </w:rPr>
        <w:t>台州市</w:t>
      </w:r>
      <w:r>
        <w:rPr>
          <w:rFonts w:hAnsi="宋体" w:cs="宋体"/>
          <w:color w:val="000000"/>
          <w:kern w:val="0"/>
          <w:sz w:val="24"/>
          <w:lang w:bidi="ar"/>
        </w:rPr>
        <w:t>人民法院提起诉讼</w:t>
      </w:r>
      <w:r>
        <w:rPr>
          <w:rFonts w:hint="eastAsia" w:hAnsi="宋体" w:cs="宋体"/>
          <w:color w:val="000000"/>
          <w:kern w:val="0"/>
          <w:sz w:val="24"/>
          <w:lang w:eastAsia="zh-CN" w:bidi="ar"/>
        </w:rPr>
        <w:t>。</w:t>
      </w:r>
      <w:r>
        <w:rPr>
          <w:rFonts w:hAnsi="宋体" w:cs="宋体"/>
          <w:kern w:val="0"/>
          <w:sz w:val="24"/>
          <w:lang w:bidi="ar"/>
        </w:rPr>
        <w:br w:type="textWrapping"/>
      </w:r>
      <w:r>
        <w:rPr>
          <w:rFonts w:hAnsi="宋体"/>
          <w:b/>
          <w:sz w:val="24"/>
        </w:rPr>
        <w:t>十</w:t>
      </w:r>
      <w:r>
        <w:rPr>
          <w:rFonts w:hint="eastAsia" w:hAnsi="宋体"/>
          <w:b/>
          <w:sz w:val="24"/>
          <w:lang w:eastAsia="zh-CN"/>
        </w:rPr>
        <w:t>七</w:t>
      </w:r>
      <w:r>
        <w:rPr>
          <w:rFonts w:hAnsi="宋体"/>
          <w:b/>
          <w:sz w:val="24"/>
        </w:rPr>
        <w:t>、合同生效及其它</w:t>
      </w:r>
      <w:r>
        <w:rPr>
          <w:rFonts w:hAnsi="宋体"/>
          <w:b/>
          <w:sz w:val="24"/>
        </w:rPr>
        <w:tab/>
      </w:r>
    </w:p>
    <w:p>
      <w:pPr>
        <w:pStyle w:val="5"/>
        <w:keepNext w:val="0"/>
        <w:keepLines w:val="0"/>
        <w:pageBreakBefore w:val="0"/>
        <w:widowControl/>
        <w:kinsoku/>
        <w:wordWrap/>
        <w:overflowPunct/>
        <w:topLinePunct w:val="0"/>
        <w:bidi w:val="0"/>
        <w:adjustRightInd/>
        <w:snapToGrid/>
        <w:spacing w:line="360" w:lineRule="auto"/>
        <w:ind w:left="0" w:leftChars="0" w:right="0" w:firstLine="480" w:firstLineChars="200"/>
        <w:textAlignment w:val="auto"/>
        <w:rPr>
          <w:rFonts w:ascii="宋体" w:hAnsi="宋体"/>
          <w:sz w:val="24"/>
        </w:rPr>
      </w:pPr>
      <w:r>
        <w:rPr>
          <w:rFonts w:ascii="宋体" w:hAnsi="宋体"/>
          <w:sz w:val="24"/>
        </w:rPr>
        <w:t>1</w:t>
      </w:r>
      <w:r>
        <w:rPr>
          <w:rFonts w:hint="eastAsia" w:ascii="宋体" w:hAnsi="宋体"/>
          <w:sz w:val="24"/>
        </w:rPr>
        <w:t>.</w:t>
      </w:r>
      <w:r>
        <w:rPr>
          <w:rFonts w:ascii="宋体" w:hAnsi="宋体"/>
          <w:sz w:val="24"/>
        </w:rPr>
        <w:t xml:space="preserve"> 合同经双方法定代表人或授权代表</w:t>
      </w:r>
      <w:r>
        <w:rPr>
          <w:rFonts w:hint="eastAsia" w:ascii="宋体" w:hAnsi="宋体"/>
          <w:sz w:val="24"/>
          <w:lang w:eastAsia="zh-CN"/>
        </w:rPr>
        <w:t>签字</w:t>
      </w:r>
      <w:r>
        <w:rPr>
          <w:rFonts w:ascii="宋体" w:hAnsi="宋体"/>
          <w:sz w:val="24"/>
        </w:rPr>
        <w:t>并加盖单位公章后生效。</w:t>
      </w:r>
    </w:p>
    <w:p>
      <w:pPr>
        <w:pStyle w:val="5"/>
        <w:keepNext w:val="0"/>
        <w:keepLines w:val="0"/>
        <w:pageBreakBefore w:val="0"/>
        <w:widowControl/>
        <w:kinsoku/>
        <w:wordWrap/>
        <w:overflowPunct/>
        <w:topLinePunct w:val="0"/>
        <w:bidi w:val="0"/>
        <w:adjustRightInd/>
        <w:snapToGrid/>
        <w:spacing w:line="360" w:lineRule="auto"/>
        <w:ind w:left="0" w:leftChars="0" w:right="0" w:firstLine="480" w:firstLineChars="200"/>
        <w:textAlignment w:val="auto"/>
        <w:rPr>
          <w:rFonts w:hAnsi="宋体"/>
          <w:color w:val="000000"/>
          <w:sz w:val="24"/>
        </w:rPr>
      </w:pPr>
      <w:r>
        <w:rPr>
          <w:rFonts w:hint="eastAsia" w:ascii="宋体" w:hAnsi="宋体"/>
          <w:sz w:val="24"/>
        </w:rPr>
        <w:t xml:space="preserve">2. </w:t>
      </w:r>
      <w:r>
        <w:rPr>
          <w:rFonts w:ascii="宋体" w:hAnsi="宋体"/>
          <w:sz w:val="24"/>
        </w:rPr>
        <w:t>本合同未尽事宜，遵照《合同法》有关条文执行。</w:t>
      </w:r>
    </w:p>
    <w:p>
      <w:pPr>
        <w:keepNext w:val="0"/>
        <w:keepLines w:val="0"/>
        <w:pageBreakBefore w:val="0"/>
        <w:widowControl/>
        <w:kinsoku/>
        <w:wordWrap/>
        <w:overflowPunct/>
        <w:topLinePunct w:val="0"/>
        <w:bidi w:val="0"/>
        <w:adjustRightInd/>
        <w:snapToGrid/>
        <w:spacing w:line="360" w:lineRule="auto"/>
        <w:ind w:left="0" w:leftChars="0" w:right="0" w:firstLine="480" w:firstLineChars="200"/>
        <w:textAlignment w:val="auto"/>
        <w:rPr>
          <w:rFonts w:ascii="宋体" w:hAnsi="宋体"/>
          <w:b/>
          <w:color w:val="000000"/>
          <w:sz w:val="24"/>
        </w:rPr>
      </w:pPr>
      <w:r>
        <w:rPr>
          <w:rFonts w:hint="eastAsia" w:ascii="宋体" w:hAnsi="宋体"/>
          <w:color w:val="000000"/>
          <w:sz w:val="24"/>
        </w:rPr>
        <w:t>3. 本合同一式</w:t>
      </w:r>
      <w:r>
        <w:rPr>
          <w:rFonts w:hint="eastAsia" w:ascii="宋体" w:hAnsi="宋体"/>
          <w:color w:val="000000"/>
          <w:kern w:val="2"/>
          <w:sz w:val="24"/>
          <w:szCs w:val="24"/>
          <w:lang w:val="en-US" w:eastAsia="zh-CN" w:bidi="ar-SA"/>
        </w:rPr>
        <w:t>七份。甲、乙双方各执三份，采购组织机构执一份。本项目未尽事宜以采购文件、投标响应文件及澄清</w:t>
      </w:r>
      <w:r>
        <w:rPr>
          <w:rFonts w:hint="eastAsia" w:ascii="宋体" w:hAnsi="宋体"/>
          <w:color w:val="000000"/>
          <w:sz w:val="24"/>
        </w:rPr>
        <w:t>文件等为准。</w:t>
      </w:r>
    </w:p>
    <w:p>
      <w:pPr>
        <w:spacing w:line="360" w:lineRule="auto"/>
        <w:rPr>
          <w:rFonts w:hint="eastAsia" w:ascii="宋体" w:hAnsi="宋体"/>
          <w:color w:val="000000"/>
          <w:sz w:val="24"/>
        </w:rPr>
      </w:pPr>
    </w:p>
    <w:p>
      <w:pPr>
        <w:spacing w:line="360" w:lineRule="auto"/>
        <w:rPr>
          <w:rFonts w:hint="eastAsia" w:ascii="宋体" w:hAnsi="宋体"/>
          <w:color w:val="000000"/>
          <w:sz w:val="24"/>
        </w:rPr>
      </w:pPr>
    </w:p>
    <w:p>
      <w:pPr>
        <w:spacing w:line="360" w:lineRule="auto"/>
        <w:rPr>
          <w:rFonts w:ascii="宋体" w:hAnsi="宋体"/>
          <w:color w:val="000000"/>
          <w:sz w:val="24"/>
        </w:rPr>
      </w:pPr>
      <w:r>
        <w:rPr>
          <w:rFonts w:hint="eastAsia" w:ascii="宋体" w:hAnsi="宋体"/>
          <w:color w:val="000000"/>
          <w:sz w:val="24"/>
        </w:rPr>
        <w:t>甲方（公章）                                     乙方（公章）</w:t>
      </w:r>
    </w:p>
    <w:p>
      <w:pPr>
        <w:spacing w:line="360" w:lineRule="auto"/>
        <w:rPr>
          <w:rFonts w:ascii="宋体" w:hAnsi="宋体"/>
          <w:color w:val="000000"/>
          <w:sz w:val="24"/>
        </w:rPr>
      </w:pPr>
      <w:r>
        <w:rPr>
          <w:rFonts w:hint="eastAsia" w:ascii="宋体" w:hAnsi="宋体"/>
          <w:color w:val="000000"/>
          <w:sz w:val="24"/>
        </w:rPr>
        <w:t>法定代表人：                                     法定代表人：</w:t>
      </w:r>
    </w:p>
    <w:p>
      <w:pPr>
        <w:spacing w:line="360" w:lineRule="auto"/>
        <w:rPr>
          <w:rFonts w:ascii="宋体" w:hAnsi="宋体"/>
          <w:color w:val="000000"/>
          <w:sz w:val="24"/>
        </w:rPr>
      </w:pPr>
      <w:r>
        <w:rPr>
          <w:rFonts w:hint="eastAsia" w:ascii="宋体" w:hAnsi="宋体"/>
          <w:color w:val="000000"/>
          <w:sz w:val="24"/>
        </w:rPr>
        <w:t>委托代理人：                                     委托代理人：</w:t>
      </w:r>
    </w:p>
    <w:p>
      <w:pPr>
        <w:spacing w:line="360" w:lineRule="auto"/>
        <w:rPr>
          <w:rFonts w:ascii="宋体" w:hAnsi="宋体"/>
          <w:color w:val="000000"/>
          <w:sz w:val="24"/>
        </w:rPr>
      </w:pPr>
      <w:r>
        <w:rPr>
          <w:rFonts w:hint="eastAsia" w:ascii="宋体" w:hAnsi="宋体"/>
          <w:color w:val="000000"/>
          <w:sz w:val="24"/>
        </w:rPr>
        <w:t>联系电话：                                       联系电话：</w:t>
      </w:r>
    </w:p>
    <w:p>
      <w:pPr>
        <w:spacing w:line="360" w:lineRule="auto"/>
        <w:rPr>
          <w:rFonts w:ascii="宋体" w:hAnsi="宋体"/>
          <w:color w:val="000000"/>
          <w:sz w:val="24"/>
        </w:rPr>
      </w:pPr>
      <w:r>
        <w:rPr>
          <w:rFonts w:hint="eastAsia" w:ascii="宋体" w:hAnsi="宋体"/>
          <w:color w:val="000000"/>
          <w:sz w:val="24"/>
        </w:rPr>
        <w:t>开户银行：                                       开户银行：</w:t>
      </w:r>
    </w:p>
    <w:p>
      <w:pPr>
        <w:spacing w:line="360" w:lineRule="auto"/>
        <w:rPr>
          <w:rFonts w:ascii="宋体" w:hAnsi="宋体"/>
          <w:color w:val="000000"/>
          <w:sz w:val="24"/>
        </w:rPr>
      </w:pPr>
      <w:r>
        <w:rPr>
          <w:rFonts w:hint="eastAsia" w:ascii="宋体" w:hAnsi="宋体"/>
          <w:color w:val="000000"/>
          <w:sz w:val="24"/>
        </w:rPr>
        <w:t>帐号：                                           帐号：</w:t>
      </w:r>
    </w:p>
    <w:p>
      <w:pPr>
        <w:spacing w:line="360" w:lineRule="auto"/>
        <w:rPr>
          <w:rFonts w:ascii="宋体" w:hAnsi="宋体"/>
          <w:color w:val="000000"/>
          <w:sz w:val="24"/>
        </w:rPr>
      </w:pPr>
      <w:r>
        <w:rPr>
          <w:rFonts w:hint="eastAsia" w:ascii="宋体" w:hAnsi="宋体"/>
          <w:color w:val="000000"/>
          <w:sz w:val="24"/>
        </w:rPr>
        <w:t>地址及邮编：                                     地址及邮编：</w:t>
      </w:r>
    </w:p>
    <w:p>
      <w:pPr>
        <w:spacing w:line="360" w:lineRule="auto"/>
        <w:ind w:firstLine="4920" w:firstLineChars="2050"/>
        <w:rPr>
          <w:rFonts w:ascii="宋体" w:hAnsi="宋体"/>
          <w:color w:val="000000"/>
          <w:sz w:val="24"/>
        </w:rPr>
      </w:pPr>
      <w:r>
        <w:rPr>
          <w:rFonts w:hint="eastAsia" w:ascii="宋体" w:hAnsi="宋体"/>
          <w:color w:val="000000"/>
          <w:sz w:val="24"/>
        </w:rPr>
        <w:t>签订时间：    年   月    日</w:t>
      </w: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pStyle w:val="2"/>
        <w:rPr>
          <w:rFonts w:hint="eastAsia" w:ascii="宋体" w:hAnsi="宋体"/>
          <w:b/>
          <w:color w:val="auto"/>
          <w:sz w:val="28"/>
          <w:szCs w:val="28"/>
        </w:rPr>
      </w:pPr>
    </w:p>
    <w:p>
      <w:pPr>
        <w:rPr>
          <w:rFonts w:hint="eastAsia"/>
          <w:b/>
          <w:bCs/>
          <w:sz w:val="84"/>
          <w:szCs w:val="84"/>
          <w:lang w:val="en-US" w:eastAsia="zh-CN"/>
        </w:rPr>
      </w:pPr>
    </w:p>
    <w:p>
      <w:pPr>
        <w:rPr>
          <w:rFonts w:hint="eastAsia"/>
          <w:b/>
          <w:bCs/>
          <w:sz w:val="84"/>
          <w:szCs w:val="84"/>
          <w:lang w:val="en-US" w:eastAsia="zh-CN"/>
        </w:rPr>
      </w:pPr>
    </w:p>
    <w:p>
      <w:pPr>
        <w:rPr>
          <w:rFonts w:hint="eastAsia"/>
          <w:b/>
          <w:bCs/>
          <w:sz w:val="84"/>
          <w:szCs w:val="84"/>
          <w:lang w:val="en-US" w:eastAsia="zh-CN"/>
        </w:rPr>
      </w:pPr>
    </w:p>
    <w:p>
      <w:pPr>
        <w:rPr>
          <w:rFonts w:hint="default"/>
          <w:b/>
          <w:bCs/>
          <w:sz w:val="84"/>
          <w:szCs w:val="84"/>
          <w:lang w:val="en-US" w:eastAsia="zh-CN"/>
        </w:rPr>
      </w:pPr>
    </w:p>
    <w:p>
      <w:pPr>
        <w:rPr>
          <w:rFonts w:hint="eastAsia"/>
          <w:b/>
          <w:bCs/>
          <w:sz w:val="52"/>
          <w:szCs w:val="52"/>
          <w:lang w:val="en-US" w:eastAsia="zh-CN"/>
        </w:rPr>
      </w:pPr>
      <w:r>
        <w:rPr>
          <w:rFonts w:hint="eastAsia"/>
          <w:b/>
          <w:bCs/>
          <w:sz w:val="52"/>
          <w:szCs w:val="52"/>
          <w:lang w:val="en-US" w:eastAsia="zh-CN"/>
        </w:rPr>
        <w:t xml:space="preserve">              </w:t>
      </w:r>
    </w:p>
    <w:p>
      <w:pPr>
        <w:rPr>
          <w:rFonts w:hint="default"/>
          <w:sz w:val="28"/>
          <w:szCs w:val="28"/>
          <w:lang w:val="en-US" w:eastAsia="zh-CN"/>
        </w:rPr>
      </w:pPr>
      <w:r>
        <w:rPr>
          <w:rFonts w:hint="eastAsia"/>
          <w:sz w:val="28"/>
          <w:szCs w:val="28"/>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新宋体">
    <w:panose1 w:val="02010609030101010101"/>
    <w:charset w:val="86"/>
    <w:family w:val="modern"/>
    <w:pitch w:val="default"/>
    <w:sig w:usb0="00000003" w:usb1="288F0000" w:usb2="0000000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8B22CB"/>
    <w:multiLevelType w:val="multilevel"/>
    <w:tmpl w:val="828B22CB"/>
    <w:lvl w:ilvl="0" w:tentative="0">
      <w:start w:val="1"/>
      <w:numFmt w:val="chineseCounting"/>
      <w:suff w:val="nothing"/>
      <w:lvlText w:val="第%1章 "/>
      <w:lvlJc w:val="left"/>
      <w:pPr>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471E06A1"/>
    <w:multiLevelType w:val="singleLevel"/>
    <w:tmpl w:val="471E06A1"/>
    <w:lvl w:ilvl="0" w:tentative="0">
      <w:start w:val="1"/>
      <w:numFmt w:val="japaneseCounting"/>
      <w:lvlText w:val="%1、"/>
      <w:lvlJc w:val="left"/>
      <w:pPr>
        <w:tabs>
          <w:tab w:val="left" w:pos="960"/>
        </w:tabs>
        <w:ind w:left="1020" w:hanging="600"/>
      </w:pPr>
      <w:rPr>
        <w:rFonts w:hint="eastAsia"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xYjljZTIyMDBlZjM5OWZiNzM5YWFmOGNjZDNkM2MifQ=="/>
  </w:docVars>
  <w:rsids>
    <w:rsidRoot w:val="00000000"/>
    <w:rsid w:val="00060C6A"/>
    <w:rsid w:val="00F44F67"/>
    <w:rsid w:val="01313AA4"/>
    <w:rsid w:val="0167140F"/>
    <w:rsid w:val="024C3094"/>
    <w:rsid w:val="029702A0"/>
    <w:rsid w:val="02C32E43"/>
    <w:rsid w:val="03CC38B9"/>
    <w:rsid w:val="05235E1B"/>
    <w:rsid w:val="05490B6D"/>
    <w:rsid w:val="06470E78"/>
    <w:rsid w:val="06E61783"/>
    <w:rsid w:val="07131EBF"/>
    <w:rsid w:val="072E7683"/>
    <w:rsid w:val="076646E5"/>
    <w:rsid w:val="07943000"/>
    <w:rsid w:val="0ADF27E4"/>
    <w:rsid w:val="0C580AA0"/>
    <w:rsid w:val="0C61547A"/>
    <w:rsid w:val="0CB67574"/>
    <w:rsid w:val="0D0E5602"/>
    <w:rsid w:val="0D921D8F"/>
    <w:rsid w:val="0ED5425F"/>
    <w:rsid w:val="0FC05908"/>
    <w:rsid w:val="0FDA17CC"/>
    <w:rsid w:val="10757746"/>
    <w:rsid w:val="10E741A0"/>
    <w:rsid w:val="11EB5A2C"/>
    <w:rsid w:val="13507B9C"/>
    <w:rsid w:val="13B011C1"/>
    <w:rsid w:val="155E2E9F"/>
    <w:rsid w:val="15A765F4"/>
    <w:rsid w:val="15AC59B8"/>
    <w:rsid w:val="1614626B"/>
    <w:rsid w:val="169721C5"/>
    <w:rsid w:val="169A1CB5"/>
    <w:rsid w:val="16FA09A5"/>
    <w:rsid w:val="17E01949"/>
    <w:rsid w:val="19137AFC"/>
    <w:rsid w:val="19BB08C0"/>
    <w:rsid w:val="19C62C8E"/>
    <w:rsid w:val="1A516B2E"/>
    <w:rsid w:val="1A710F7F"/>
    <w:rsid w:val="1C524FBA"/>
    <w:rsid w:val="1C5F19D6"/>
    <w:rsid w:val="1D293D92"/>
    <w:rsid w:val="1D5338FF"/>
    <w:rsid w:val="1D6E79F7"/>
    <w:rsid w:val="1D7C3874"/>
    <w:rsid w:val="1DD71A40"/>
    <w:rsid w:val="1F4849A4"/>
    <w:rsid w:val="1F890B18"/>
    <w:rsid w:val="22F369D5"/>
    <w:rsid w:val="23533917"/>
    <w:rsid w:val="23E87A83"/>
    <w:rsid w:val="23FC7B0B"/>
    <w:rsid w:val="25A47AE2"/>
    <w:rsid w:val="2609650F"/>
    <w:rsid w:val="260D5E1C"/>
    <w:rsid w:val="28681C13"/>
    <w:rsid w:val="29D357B2"/>
    <w:rsid w:val="2A812E0B"/>
    <w:rsid w:val="2C2D0FC6"/>
    <w:rsid w:val="2CAB6572"/>
    <w:rsid w:val="2E2C36E3"/>
    <w:rsid w:val="2E6115DE"/>
    <w:rsid w:val="2E975000"/>
    <w:rsid w:val="2F5F48FE"/>
    <w:rsid w:val="30420F41"/>
    <w:rsid w:val="306B6A80"/>
    <w:rsid w:val="30782C0F"/>
    <w:rsid w:val="30BF083E"/>
    <w:rsid w:val="31307046"/>
    <w:rsid w:val="31571E34"/>
    <w:rsid w:val="31907C95"/>
    <w:rsid w:val="31943A79"/>
    <w:rsid w:val="328C29A2"/>
    <w:rsid w:val="349D0E96"/>
    <w:rsid w:val="35213875"/>
    <w:rsid w:val="3567645E"/>
    <w:rsid w:val="361909F0"/>
    <w:rsid w:val="362D15F4"/>
    <w:rsid w:val="363B2715"/>
    <w:rsid w:val="364A13F1"/>
    <w:rsid w:val="36795B3A"/>
    <w:rsid w:val="37164F30"/>
    <w:rsid w:val="3793032E"/>
    <w:rsid w:val="390C0398"/>
    <w:rsid w:val="390C2146"/>
    <w:rsid w:val="3B2C6AD0"/>
    <w:rsid w:val="3BF53366"/>
    <w:rsid w:val="3D5F13DF"/>
    <w:rsid w:val="3DCE3E6E"/>
    <w:rsid w:val="3F204B9E"/>
    <w:rsid w:val="3F676329"/>
    <w:rsid w:val="3F6C1B91"/>
    <w:rsid w:val="41676AB4"/>
    <w:rsid w:val="423746D8"/>
    <w:rsid w:val="441F3676"/>
    <w:rsid w:val="4441183E"/>
    <w:rsid w:val="445A2C3C"/>
    <w:rsid w:val="447F45F1"/>
    <w:rsid w:val="44AE49FA"/>
    <w:rsid w:val="450B7991"/>
    <w:rsid w:val="46BD2C3E"/>
    <w:rsid w:val="46BD7176"/>
    <w:rsid w:val="47280A93"/>
    <w:rsid w:val="47560066"/>
    <w:rsid w:val="476B0980"/>
    <w:rsid w:val="47D429C9"/>
    <w:rsid w:val="47F545B3"/>
    <w:rsid w:val="480212E4"/>
    <w:rsid w:val="48343468"/>
    <w:rsid w:val="497E0E3E"/>
    <w:rsid w:val="49B226DB"/>
    <w:rsid w:val="49D03506"/>
    <w:rsid w:val="4A121587"/>
    <w:rsid w:val="4AA76173"/>
    <w:rsid w:val="4B86222C"/>
    <w:rsid w:val="4C0A4C0B"/>
    <w:rsid w:val="4DE90850"/>
    <w:rsid w:val="4E5263F6"/>
    <w:rsid w:val="4E5C7274"/>
    <w:rsid w:val="4E7445BE"/>
    <w:rsid w:val="4E791BD4"/>
    <w:rsid w:val="4EF15C0F"/>
    <w:rsid w:val="4F18763F"/>
    <w:rsid w:val="4F9367F3"/>
    <w:rsid w:val="50C71659"/>
    <w:rsid w:val="51B86EB8"/>
    <w:rsid w:val="527C5CC1"/>
    <w:rsid w:val="52927709"/>
    <w:rsid w:val="538C5B77"/>
    <w:rsid w:val="543071D9"/>
    <w:rsid w:val="55F23CAB"/>
    <w:rsid w:val="57017FED"/>
    <w:rsid w:val="58020E8D"/>
    <w:rsid w:val="580D7A9F"/>
    <w:rsid w:val="5847689F"/>
    <w:rsid w:val="58507E4A"/>
    <w:rsid w:val="58535AE0"/>
    <w:rsid w:val="589C6BEB"/>
    <w:rsid w:val="59684D1F"/>
    <w:rsid w:val="59AC7302"/>
    <w:rsid w:val="5A517EA9"/>
    <w:rsid w:val="5A566916"/>
    <w:rsid w:val="5B7C2D04"/>
    <w:rsid w:val="5B7E4CCE"/>
    <w:rsid w:val="5B885E89"/>
    <w:rsid w:val="5C9E6611"/>
    <w:rsid w:val="5FAF18FA"/>
    <w:rsid w:val="603718EF"/>
    <w:rsid w:val="608C26D9"/>
    <w:rsid w:val="6094289E"/>
    <w:rsid w:val="61065799"/>
    <w:rsid w:val="61F8580F"/>
    <w:rsid w:val="62830E1C"/>
    <w:rsid w:val="64122457"/>
    <w:rsid w:val="64CD09EF"/>
    <w:rsid w:val="65772C72"/>
    <w:rsid w:val="65B52114"/>
    <w:rsid w:val="65D379C4"/>
    <w:rsid w:val="66BC48FC"/>
    <w:rsid w:val="679118E5"/>
    <w:rsid w:val="68534DEC"/>
    <w:rsid w:val="688257C1"/>
    <w:rsid w:val="6A8E035E"/>
    <w:rsid w:val="6B0074AE"/>
    <w:rsid w:val="6B1019FD"/>
    <w:rsid w:val="6B1C5550"/>
    <w:rsid w:val="6D056FFD"/>
    <w:rsid w:val="6D5B09CB"/>
    <w:rsid w:val="6EFC7F8C"/>
    <w:rsid w:val="70D035DD"/>
    <w:rsid w:val="72295AE2"/>
    <w:rsid w:val="72DA4A88"/>
    <w:rsid w:val="7625426C"/>
    <w:rsid w:val="76992125"/>
    <w:rsid w:val="77731007"/>
    <w:rsid w:val="77F959B0"/>
    <w:rsid w:val="791F6F29"/>
    <w:rsid w:val="7A115F63"/>
    <w:rsid w:val="7A3F65B5"/>
    <w:rsid w:val="7B580C40"/>
    <w:rsid w:val="7C0D1A2A"/>
    <w:rsid w:val="7CD360BE"/>
    <w:rsid w:val="7F210F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pPr>
    <w:rPr>
      <w:rFonts w:cs="宋体"/>
      <w:szCs w:val="21"/>
    </w:rPr>
  </w:style>
  <w:style w:type="paragraph" w:styleId="3">
    <w:name w:val="Body Text Indent"/>
    <w:basedOn w:val="1"/>
    <w:next w:val="1"/>
    <w:qFormat/>
    <w:uiPriority w:val="99"/>
    <w:pPr>
      <w:spacing w:after="120"/>
      <w:ind w:left="420" w:leftChars="200"/>
    </w:pPr>
  </w:style>
  <w:style w:type="paragraph" w:styleId="4">
    <w:name w:val="annotation text"/>
    <w:basedOn w:val="1"/>
    <w:qFormat/>
    <w:uiPriority w:val="99"/>
    <w:pPr>
      <w:jc w:val="left"/>
    </w:pPr>
  </w:style>
  <w:style w:type="paragraph" w:styleId="5">
    <w:name w:val="Body Text"/>
    <w:basedOn w:val="1"/>
    <w:next w:val="6"/>
    <w:qFormat/>
    <w:uiPriority w:val="99"/>
    <w:pPr>
      <w:spacing w:line="360" w:lineRule="exact"/>
    </w:pPr>
    <w:rPr>
      <w:sz w:val="24"/>
    </w:rPr>
  </w:style>
  <w:style w:type="paragraph" w:styleId="6">
    <w:name w:val="toc 4"/>
    <w:basedOn w:val="1"/>
    <w:next w:val="1"/>
    <w:qFormat/>
    <w:uiPriority w:val="0"/>
    <w:pPr>
      <w:wordWrap w:val="0"/>
      <w:ind w:left="850"/>
      <w:jc w:val="both"/>
    </w:pPr>
    <w:rPr>
      <w:rFonts w:ascii="Calibri" w:hAnsi="Calibri" w:eastAsia="宋体" w:cs="Times New Roman"/>
      <w:sz w:val="21"/>
      <w:lang w:val="en-US" w:eastAsia="zh-CN" w:bidi="ar-SA"/>
    </w:rPr>
  </w:style>
  <w:style w:type="paragraph" w:styleId="7">
    <w:name w:val="Plain Text"/>
    <w:basedOn w:val="1"/>
    <w:next w:val="8"/>
    <w:qFormat/>
    <w:uiPriority w:val="0"/>
    <w:rPr>
      <w:rFonts w:ascii="宋体" w:hAnsi="Courier New"/>
    </w:rPr>
  </w:style>
  <w:style w:type="paragraph" w:customStyle="1" w:styleId="8">
    <w:name w:val="_Style 7"/>
    <w:next w:val="1"/>
    <w:qFormat/>
    <w:uiPriority w:val="0"/>
    <w:pPr>
      <w:wordWrap w:val="0"/>
    </w:pPr>
    <w:rPr>
      <w:rFonts w:ascii="Calibri" w:hAnsi="Calibri" w:eastAsia="宋体" w:cs="Times New Roman"/>
      <w:sz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10039</Words>
  <Characters>10179</Characters>
  <Lines>0</Lines>
  <Paragraphs>0</Paragraphs>
  <TotalTime>27</TotalTime>
  <ScaleCrop>false</ScaleCrop>
  <LinksUpToDate>false</LinksUpToDate>
  <CharactersWithSpaces>10787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2023-03-07T00:35:00Z</dcterms:created>
  <dc:creator>Administrator</dc:creator>
  <cp:lastModifiedBy>Administrator</cp:lastModifiedBy>
  <dcterms:modified xsi:type="dcterms:W3CDTF">2023-04-03T01:46:56Z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EE0DF63B995C42C4AF70FDBEA569A241</vt:lpwstr>
  </property>
</Properties>
</file>