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6BD4">
      <w:pPr>
        <w:jc w:val="center"/>
        <w:rPr>
          <w:rFonts w:hint="eastAsia" w:ascii="宋体" w:hAnsi="宋体"/>
          <w:b/>
          <w:sz w:val="52"/>
          <w:szCs w:val="52"/>
        </w:rPr>
      </w:pPr>
    </w:p>
    <w:p w14:paraId="6AB462A4">
      <w:pPr>
        <w:jc w:val="center"/>
        <w:rPr>
          <w:rFonts w:hint="eastAsia" w:ascii="宋体" w:hAnsi="宋体"/>
          <w:b/>
          <w:sz w:val="84"/>
          <w:szCs w:val="84"/>
        </w:rPr>
      </w:pPr>
      <w:r>
        <w:rPr>
          <w:rFonts w:hint="eastAsia" w:ascii="宋体" w:hAnsi="宋体"/>
          <w:b/>
          <w:sz w:val="84"/>
          <w:szCs w:val="84"/>
        </w:rPr>
        <w:t>招 标 文 件</w:t>
      </w:r>
    </w:p>
    <w:p w14:paraId="265DF3F2">
      <w:pPr>
        <w:jc w:val="center"/>
        <w:rPr>
          <w:rFonts w:hint="eastAsia" w:ascii="宋体" w:hAnsi="宋体"/>
          <w:sz w:val="36"/>
          <w:szCs w:val="36"/>
        </w:rPr>
      </w:pPr>
      <w:r>
        <w:rPr>
          <w:rFonts w:hint="eastAsia" w:ascii="宋体"/>
          <w:b/>
          <w:color w:val="000000"/>
          <w:kern w:val="0"/>
          <w:sz w:val="36"/>
          <w:szCs w:val="36"/>
          <w:lang w:val="en-US" w:eastAsia="zh-CN"/>
        </w:rPr>
        <w:t xml:space="preserve"> </w:t>
      </w:r>
    </w:p>
    <w:p w14:paraId="5E2E4DB4">
      <w:pPr>
        <w:rPr>
          <w:rFonts w:hint="eastAsia" w:ascii="宋体" w:hAnsi="宋体"/>
          <w:sz w:val="32"/>
          <w:szCs w:val="32"/>
        </w:rPr>
      </w:pPr>
    </w:p>
    <w:p w14:paraId="35A64423">
      <w:pPr>
        <w:rPr>
          <w:rFonts w:hint="eastAsia" w:ascii="宋体" w:hAnsi="宋体"/>
          <w:sz w:val="32"/>
          <w:szCs w:val="32"/>
        </w:rPr>
      </w:pPr>
    </w:p>
    <w:p w14:paraId="698B88A7">
      <w:pPr>
        <w:jc w:val="center"/>
        <w:rPr>
          <w:rFonts w:hint="eastAsia" w:ascii="宋体" w:hAnsi="宋体"/>
          <w:sz w:val="32"/>
          <w:szCs w:val="32"/>
        </w:rPr>
      </w:pPr>
    </w:p>
    <w:p w14:paraId="15290217">
      <w:pPr>
        <w:adjustRightInd w:val="0"/>
        <w:snapToGrid w:val="0"/>
        <w:spacing w:line="480" w:lineRule="auto"/>
        <w:jc w:val="center"/>
        <w:rPr>
          <w:rFonts w:hint="eastAsia" w:ascii="宋体" w:hAnsi="宋体"/>
          <w:sz w:val="44"/>
          <w:szCs w:val="44"/>
        </w:rPr>
      </w:pPr>
      <w:r>
        <w:rPr>
          <w:rFonts w:hint="eastAsia" w:ascii="宋体" w:hAnsi="宋体"/>
          <w:sz w:val="44"/>
          <w:szCs w:val="44"/>
        </w:rPr>
        <w:t>招标项目：</w:t>
      </w:r>
      <w:r>
        <w:rPr>
          <w:rFonts w:hint="eastAsia" w:ascii="宋体" w:hAnsi="宋体"/>
          <w:bCs/>
          <w:sz w:val="44"/>
          <w:szCs w:val="44"/>
        </w:rPr>
        <w:t>DRGS医疗质量数据分析服务</w:t>
      </w:r>
    </w:p>
    <w:p w14:paraId="5F9B99B8">
      <w:pPr>
        <w:adjustRightInd w:val="0"/>
        <w:snapToGrid w:val="0"/>
        <w:spacing w:line="480" w:lineRule="auto"/>
        <w:jc w:val="center"/>
        <w:rPr>
          <w:rFonts w:hint="eastAsia" w:ascii="宋体" w:hAnsi="宋体"/>
          <w:sz w:val="44"/>
          <w:szCs w:val="44"/>
        </w:rPr>
      </w:pPr>
      <w:r>
        <w:rPr>
          <w:rFonts w:hint="eastAsia" w:ascii="宋体" w:hAnsi="宋体"/>
          <w:sz w:val="44"/>
          <w:szCs w:val="44"/>
        </w:rPr>
        <w:t xml:space="preserve">         </w:t>
      </w:r>
    </w:p>
    <w:p w14:paraId="0930A0FB">
      <w:pPr>
        <w:ind w:firstLine="2720" w:firstLineChars="850"/>
        <w:rPr>
          <w:rFonts w:hint="eastAsia" w:ascii="宋体" w:hAnsi="宋体"/>
          <w:sz w:val="32"/>
          <w:szCs w:val="32"/>
        </w:rPr>
      </w:pPr>
    </w:p>
    <w:p w14:paraId="2282D972">
      <w:pPr>
        <w:ind w:firstLine="2720" w:firstLineChars="850"/>
        <w:rPr>
          <w:rFonts w:hint="eastAsia" w:ascii="宋体" w:hAnsi="宋体"/>
          <w:sz w:val="32"/>
          <w:szCs w:val="32"/>
        </w:rPr>
      </w:pPr>
    </w:p>
    <w:p w14:paraId="095DA7DE">
      <w:pPr>
        <w:ind w:firstLine="2720" w:firstLineChars="850"/>
        <w:rPr>
          <w:rFonts w:hint="eastAsia" w:ascii="宋体" w:hAnsi="宋体"/>
          <w:sz w:val="32"/>
          <w:szCs w:val="32"/>
        </w:rPr>
      </w:pPr>
    </w:p>
    <w:p w14:paraId="146D6B04">
      <w:pPr>
        <w:ind w:firstLine="2720" w:firstLineChars="850"/>
        <w:rPr>
          <w:rFonts w:hint="eastAsia" w:ascii="宋体" w:hAnsi="宋体"/>
          <w:sz w:val="32"/>
          <w:szCs w:val="32"/>
        </w:rPr>
      </w:pPr>
    </w:p>
    <w:p w14:paraId="35D21DED">
      <w:pPr>
        <w:ind w:firstLine="2720" w:firstLineChars="850"/>
        <w:rPr>
          <w:rFonts w:hint="eastAsia" w:ascii="宋体" w:hAnsi="宋体"/>
          <w:sz w:val="32"/>
          <w:szCs w:val="32"/>
        </w:rPr>
      </w:pPr>
    </w:p>
    <w:p w14:paraId="52A85554">
      <w:pPr>
        <w:ind w:firstLine="2720" w:firstLineChars="850"/>
        <w:rPr>
          <w:rFonts w:hint="eastAsia" w:ascii="宋体" w:hAnsi="宋体"/>
          <w:sz w:val="32"/>
          <w:szCs w:val="32"/>
        </w:rPr>
      </w:pPr>
    </w:p>
    <w:p w14:paraId="51A5B9CD">
      <w:pPr>
        <w:ind w:firstLine="2720" w:firstLineChars="850"/>
        <w:rPr>
          <w:rFonts w:hint="eastAsia" w:ascii="宋体" w:hAnsi="宋体"/>
          <w:sz w:val="32"/>
          <w:szCs w:val="32"/>
        </w:rPr>
      </w:pPr>
    </w:p>
    <w:p w14:paraId="5DEFEB6B">
      <w:pPr>
        <w:ind w:firstLine="2720" w:firstLineChars="850"/>
        <w:rPr>
          <w:rFonts w:hint="eastAsia" w:ascii="宋体" w:hAnsi="宋体"/>
          <w:sz w:val="32"/>
          <w:szCs w:val="32"/>
        </w:rPr>
      </w:pPr>
    </w:p>
    <w:p w14:paraId="742DF696">
      <w:pPr>
        <w:ind w:firstLine="2720" w:firstLineChars="850"/>
        <w:rPr>
          <w:rFonts w:hint="eastAsia" w:ascii="宋体" w:hAnsi="宋体"/>
          <w:sz w:val="32"/>
          <w:szCs w:val="32"/>
        </w:rPr>
      </w:pPr>
    </w:p>
    <w:p w14:paraId="2E67E9D6">
      <w:pPr>
        <w:ind w:firstLine="2720" w:firstLineChars="850"/>
        <w:rPr>
          <w:rFonts w:hint="eastAsia" w:ascii="宋体" w:hAnsi="宋体"/>
          <w:sz w:val="32"/>
          <w:szCs w:val="32"/>
        </w:rPr>
      </w:pPr>
    </w:p>
    <w:p w14:paraId="49CDB462">
      <w:pPr>
        <w:jc w:val="center"/>
        <w:rPr>
          <w:rFonts w:hint="eastAsia" w:ascii="宋体" w:hAnsi="宋体"/>
          <w:b/>
          <w:sz w:val="44"/>
          <w:szCs w:val="44"/>
        </w:rPr>
      </w:pPr>
      <w:r>
        <w:rPr>
          <w:rFonts w:hint="eastAsia" w:ascii="宋体" w:hAnsi="宋体"/>
          <w:color w:val="000000"/>
          <w:kern w:val="0"/>
          <w:sz w:val="28"/>
          <w:szCs w:val="28"/>
        </w:rPr>
        <w:t>202</w:t>
      </w:r>
      <w:r>
        <w:rPr>
          <w:rFonts w:hint="eastAsia" w:ascii="宋体" w:hAnsi="宋体"/>
          <w:color w:val="000000"/>
          <w:kern w:val="0"/>
          <w:sz w:val="28"/>
          <w:szCs w:val="28"/>
          <w:lang w:val="en-US" w:eastAsia="zh-CN"/>
        </w:rPr>
        <w:t>5</w:t>
      </w:r>
      <w:r>
        <w:rPr>
          <w:rFonts w:hint="eastAsia" w:ascii="宋体" w:hAnsi="宋体"/>
          <w:color w:val="000000"/>
          <w:kern w:val="0"/>
          <w:sz w:val="28"/>
          <w:szCs w:val="28"/>
        </w:rPr>
        <w:t>年</w:t>
      </w:r>
      <w:r>
        <w:rPr>
          <w:rFonts w:hint="eastAsia" w:ascii="宋体" w:hAnsi="宋体"/>
          <w:color w:val="000000"/>
          <w:kern w:val="0"/>
          <w:sz w:val="28"/>
          <w:szCs w:val="28"/>
          <w:lang w:val="en-US" w:eastAsia="zh-CN"/>
        </w:rPr>
        <w:t>04</w:t>
      </w:r>
      <w:r>
        <w:rPr>
          <w:rFonts w:hint="eastAsia" w:ascii="宋体" w:hAnsi="宋体"/>
          <w:color w:val="000000"/>
          <w:kern w:val="0"/>
          <w:sz w:val="28"/>
          <w:szCs w:val="28"/>
        </w:rPr>
        <w:t>月</w:t>
      </w:r>
      <w:r>
        <w:rPr>
          <w:rFonts w:hint="eastAsia" w:ascii="宋体" w:hAnsi="宋体"/>
          <w:color w:val="000000"/>
          <w:kern w:val="0"/>
          <w:sz w:val="28"/>
          <w:szCs w:val="28"/>
          <w:lang w:val="en-US" w:eastAsia="zh-CN"/>
        </w:rPr>
        <w:t>01</w:t>
      </w:r>
      <w:r>
        <w:rPr>
          <w:rFonts w:hint="eastAsia" w:ascii="宋体" w:hAnsi="宋体"/>
          <w:color w:val="000000"/>
          <w:kern w:val="0"/>
          <w:sz w:val="28"/>
          <w:szCs w:val="28"/>
        </w:rPr>
        <w:t>日</w:t>
      </w:r>
    </w:p>
    <w:p w14:paraId="40A70FBC">
      <w:pPr>
        <w:jc w:val="center"/>
        <w:rPr>
          <w:rFonts w:hint="eastAsia" w:ascii="宋体" w:hAnsi="宋体"/>
          <w:b/>
          <w:sz w:val="48"/>
          <w:szCs w:val="48"/>
        </w:rPr>
      </w:pPr>
      <w:r>
        <w:rPr>
          <w:rFonts w:hint="eastAsia" w:ascii="宋体" w:hAnsi="宋体"/>
          <w:b/>
          <w:sz w:val="48"/>
          <w:szCs w:val="48"/>
        </w:rPr>
        <w:t>目    录</w:t>
      </w:r>
    </w:p>
    <w:p w14:paraId="06F7934E">
      <w:pPr>
        <w:rPr>
          <w:rFonts w:hint="eastAsia" w:ascii="宋体" w:hAnsi="宋体"/>
          <w:sz w:val="32"/>
          <w:szCs w:val="32"/>
        </w:rPr>
      </w:pPr>
    </w:p>
    <w:p w14:paraId="2D187BFD">
      <w:pPr>
        <w:rPr>
          <w:rFonts w:hint="eastAsia" w:ascii="宋体" w:hAnsi="宋体"/>
          <w:sz w:val="32"/>
          <w:szCs w:val="32"/>
        </w:rPr>
      </w:pPr>
    </w:p>
    <w:p w14:paraId="38502E6B">
      <w:pPr>
        <w:adjustRightInd w:val="0"/>
        <w:snapToGrid w:val="0"/>
        <w:spacing w:line="360" w:lineRule="auto"/>
        <w:rPr>
          <w:rFonts w:hint="eastAsia" w:ascii="宋体" w:hAnsi="宋体"/>
          <w:sz w:val="36"/>
          <w:szCs w:val="36"/>
        </w:rPr>
      </w:pPr>
      <w:r>
        <w:rPr>
          <w:rFonts w:hint="eastAsia" w:ascii="宋体" w:hAnsi="宋体"/>
          <w:sz w:val="36"/>
          <w:szCs w:val="36"/>
        </w:rPr>
        <w:t>第一部分：投标需知</w:t>
      </w:r>
    </w:p>
    <w:p w14:paraId="6BCAC092">
      <w:pPr>
        <w:adjustRightInd w:val="0"/>
        <w:snapToGrid w:val="0"/>
        <w:spacing w:line="360" w:lineRule="auto"/>
        <w:rPr>
          <w:rFonts w:hint="eastAsia" w:ascii="宋体" w:hAnsi="宋体"/>
          <w:sz w:val="36"/>
          <w:szCs w:val="36"/>
          <w:lang w:eastAsia="zh-CN"/>
        </w:rPr>
      </w:pPr>
      <w:r>
        <w:rPr>
          <w:rFonts w:hint="eastAsia" w:ascii="宋体" w:hAnsi="宋体"/>
          <w:sz w:val="36"/>
          <w:szCs w:val="36"/>
        </w:rPr>
        <w:t>第二部分：</w:t>
      </w:r>
      <w:r>
        <w:rPr>
          <w:rFonts w:hint="eastAsia" w:ascii="宋体" w:hAnsi="宋体"/>
          <w:sz w:val="36"/>
          <w:szCs w:val="36"/>
          <w:lang w:eastAsia="zh-CN"/>
        </w:rPr>
        <w:t>招标需求</w:t>
      </w:r>
    </w:p>
    <w:p w14:paraId="294DCED1">
      <w:pPr>
        <w:adjustRightInd w:val="0"/>
        <w:snapToGrid w:val="0"/>
        <w:spacing w:line="360" w:lineRule="auto"/>
        <w:rPr>
          <w:rFonts w:hint="eastAsia" w:ascii="宋体" w:hAnsi="宋体"/>
          <w:sz w:val="36"/>
          <w:szCs w:val="36"/>
        </w:rPr>
      </w:pPr>
      <w:r>
        <w:rPr>
          <w:rFonts w:hint="eastAsia" w:ascii="宋体" w:hAnsi="宋体"/>
          <w:sz w:val="36"/>
          <w:szCs w:val="36"/>
        </w:rPr>
        <w:t>第三部分：开标、评标、及定标</w:t>
      </w:r>
    </w:p>
    <w:p w14:paraId="3213D4B3">
      <w:pPr>
        <w:adjustRightInd w:val="0"/>
        <w:snapToGrid w:val="0"/>
        <w:spacing w:line="360" w:lineRule="auto"/>
        <w:rPr>
          <w:rFonts w:hint="eastAsia" w:ascii="宋体" w:hAnsi="宋体"/>
          <w:sz w:val="36"/>
          <w:szCs w:val="36"/>
        </w:rPr>
      </w:pPr>
      <w:r>
        <w:rPr>
          <w:rFonts w:hint="eastAsia" w:ascii="宋体" w:hAnsi="宋体"/>
          <w:sz w:val="36"/>
          <w:szCs w:val="36"/>
        </w:rPr>
        <w:t>第四部分：签定合同</w:t>
      </w:r>
    </w:p>
    <w:p w14:paraId="13CC3857">
      <w:pPr>
        <w:adjustRightInd w:val="0"/>
        <w:snapToGrid w:val="0"/>
        <w:spacing w:line="360" w:lineRule="auto"/>
        <w:rPr>
          <w:rFonts w:hint="eastAsia" w:ascii="宋体" w:hAnsi="宋体"/>
          <w:sz w:val="36"/>
          <w:szCs w:val="36"/>
        </w:rPr>
      </w:pPr>
      <w:r>
        <w:rPr>
          <w:rFonts w:hint="eastAsia" w:ascii="宋体" w:hAnsi="宋体"/>
          <w:sz w:val="36"/>
          <w:szCs w:val="36"/>
        </w:rPr>
        <w:t>第五部分：付款方式</w:t>
      </w:r>
    </w:p>
    <w:p w14:paraId="035A51FB">
      <w:pPr>
        <w:rPr>
          <w:rFonts w:hint="eastAsia" w:ascii="宋体" w:hAnsi="宋体"/>
          <w:sz w:val="36"/>
          <w:szCs w:val="36"/>
        </w:rPr>
      </w:pPr>
    </w:p>
    <w:p w14:paraId="196197BA">
      <w:pPr>
        <w:rPr>
          <w:rFonts w:hint="eastAsia" w:ascii="宋体" w:hAnsi="宋体"/>
          <w:sz w:val="36"/>
          <w:szCs w:val="36"/>
        </w:rPr>
      </w:pPr>
    </w:p>
    <w:p w14:paraId="15217F4F">
      <w:pPr>
        <w:rPr>
          <w:rFonts w:hint="eastAsia" w:ascii="宋体" w:hAnsi="宋体"/>
          <w:sz w:val="36"/>
          <w:szCs w:val="36"/>
        </w:rPr>
      </w:pPr>
    </w:p>
    <w:p w14:paraId="0FC758F1">
      <w:pPr>
        <w:rPr>
          <w:rFonts w:hint="eastAsia" w:ascii="宋体" w:hAnsi="宋体"/>
          <w:sz w:val="36"/>
          <w:szCs w:val="36"/>
        </w:rPr>
      </w:pPr>
    </w:p>
    <w:p w14:paraId="38241303">
      <w:pPr>
        <w:rPr>
          <w:rFonts w:hint="eastAsia" w:ascii="宋体" w:hAnsi="宋体"/>
          <w:sz w:val="36"/>
          <w:szCs w:val="36"/>
        </w:rPr>
      </w:pPr>
    </w:p>
    <w:p w14:paraId="70D0EB14">
      <w:pPr>
        <w:rPr>
          <w:rFonts w:hint="eastAsia" w:ascii="宋体" w:hAnsi="宋体"/>
          <w:sz w:val="36"/>
          <w:szCs w:val="36"/>
        </w:rPr>
      </w:pPr>
    </w:p>
    <w:p w14:paraId="0867CB60">
      <w:pPr>
        <w:rPr>
          <w:rFonts w:hint="eastAsia" w:ascii="宋体" w:hAnsi="宋体"/>
          <w:sz w:val="36"/>
          <w:szCs w:val="36"/>
        </w:rPr>
      </w:pPr>
    </w:p>
    <w:p w14:paraId="5AC47E52">
      <w:pPr>
        <w:rPr>
          <w:rFonts w:hint="eastAsia" w:ascii="宋体" w:hAnsi="宋体"/>
          <w:sz w:val="36"/>
          <w:szCs w:val="36"/>
        </w:rPr>
      </w:pPr>
    </w:p>
    <w:p w14:paraId="10B74B3D">
      <w:pPr>
        <w:rPr>
          <w:rFonts w:hint="eastAsia" w:ascii="宋体" w:hAnsi="宋体"/>
          <w:sz w:val="36"/>
          <w:szCs w:val="36"/>
        </w:rPr>
      </w:pPr>
    </w:p>
    <w:p w14:paraId="6DD788B7">
      <w:pPr>
        <w:rPr>
          <w:rFonts w:hint="eastAsia" w:ascii="宋体" w:hAnsi="宋体"/>
          <w:sz w:val="36"/>
          <w:szCs w:val="36"/>
        </w:rPr>
      </w:pPr>
    </w:p>
    <w:p w14:paraId="449FEEEB">
      <w:pPr>
        <w:rPr>
          <w:rFonts w:hint="eastAsia" w:ascii="宋体" w:hAnsi="宋体"/>
          <w:sz w:val="36"/>
          <w:szCs w:val="36"/>
        </w:rPr>
      </w:pPr>
    </w:p>
    <w:p w14:paraId="022AFF71">
      <w:pPr>
        <w:rPr>
          <w:rFonts w:hint="eastAsia" w:ascii="宋体" w:hAnsi="宋体"/>
          <w:sz w:val="36"/>
          <w:szCs w:val="36"/>
        </w:rPr>
      </w:pPr>
    </w:p>
    <w:p w14:paraId="79B128E5">
      <w:pPr>
        <w:rPr>
          <w:rFonts w:hint="eastAsia" w:ascii="宋体" w:hAnsi="宋体"/>
          <w:sz w:val="36"/>
          <w:szCs w:val="36"/>
        </w:rPr>
      </w:pPr>
    </w:p>
    <w:p w14:paraId="5F02BEFA">
      <w:pPr>
        <w:adjustRightInd w:val="0"/>
        <w:snapToGrid w:val="0"/>
        <w:spacing w:line="360" w:lineRule="auto"/>
        <w:jc w:val="center"/>
        <w:rPr>
          <w:rFonts w:hint="eastAsia" w:ascii="宋体" w:hAnsi="宋体"/>
          <w:b/>
          <w:sz w:val="32"/>
          <w:szCs w:val="32"/>
        </w:rPr>
      </w:pPr>
    </w:p>
    <w:p w14:paraId="673199EC">
      <w:pPr>
        <w:adjustRightInd w:val="0"/>
        <w:snapToGrid w:val="0"/>
        <w:spacing w:line="360" w:lineRule="auto"/>
        <w:jc w:val="center"/>
        <w:rPr>
          <w:rFonts w:hint="eastAsia" w:ascii="宋体" w:hAnsi="宋体"/>
          <w:b/>
          <w:sz w:val="32"/>
          <w:szCs w:val="32"/>
        </w:rPr>
      </w:pPr>
      <w:r>
        <w:rPr>
          <w:rFonts w:hint="eastAsia" w:ascii="宋体" w:hAnsi="宋体"/>
          <w:b/>
          <w:sz w:val="32"/>
          <w:szCs w:val="32"/>
        </w:rPr>
        <w:t>第一部分  投标须知</w:t>
      </w:r>
    </w:p>
    <w:p w14:paraId="0C19FD9A">
      <w:pPr>
        <w:widowControl/>
        <w:spacing w:line="400" w:lineRule="exact"/>
        <w:jc w:val="center"/>
        <w:rPr>
          <w:rFonts w:ascii="黑体" w:hAnsi="宋体" w:eastAsia="黑体"/>
          <w:bCs/>
          <w:sz w:val="32"/>
          <w:szCs w:val="32"/>
        </w:rPr>
      </w:pPr>
      <w:r>
        <w:rPr>
          <w:rFonts w:hint="eastAsia" w:ascii="黑体" w:hAnsi="宋体" w:eastAsia="黑体"/>
          <w:bCs/>
          <w:sz w:val="32"/>
          <w:szCs w:val="32"/>
          <w:lang w:eastAsia="zh-CN"/>
        </w:rPr>
        <w:t>投</w:t>
      </w:r>
      <w:r>
        <w:rPr>
          <w:rFonts w:hint="eastAsia" w:ascii="黑体" w:hAnsi="宋体" w:eastAsia="黑体"/>
          <w:bCs/>
          <w:sz w:val="32"/>
          <w:szCs w:val="32"/>
        </w:rPr>
        <w:t>标需求</w:t>
      </w:r>
    </w:p>
    <w:p w14:paraId="1679BCC5">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一、定义：</w:t>
      </w:r>
    </w:p>
    <w:p w14:paraId="5893FFA1">
      <w:pPr>
        <w:adjustRightInd w:val="0"/>
        <w:snapToGrid w:val="0"/>
        <w:spacing w:line="360" w:lineRule="auto"/>
        <w:ind w:firstLine="420" w:firstLineChars="200"/>
        <w:rPr>
          <w:rFonts w:hint="eastAsia" w:ascii="宋体" w:hAnsi="宋体" w:eastAsia="宋体"/>
          <w:sz w:val="21"/>
          <w:szCs w:val="21"/>
          <w:lang w:eastAsia="zh-CN"/>
        </w:rPr>
      </w:pPr>
      <w:r>
        <w:rPr>
          <w:rFonts w:hint="eastAsia" w:ascii="宋体" w:hAnsi="宋体"/>
          <w:sz w:val="21"/>
          <w:szCs w:val="21"/>
        </w:rPr>
        <w:t>1、招标内容：</w:t>
      </w:r>
      <w:r>
        <w:rPr>
          <w:rFonts w:hint="eastAsia" w:ascii="宋体" w:hAnsi="宋体"/>
          <w:bCs/>
          <w:sz w:val="21"/>
          <w:szCs w:val="21"/>
          <w:lang w:val="en-US" w:eastAsia="zh-CN"/>
        </w:rPr>
        <w:t>台州市中医院</w:t>
      </w:r>
      <w:r>
        <w:rPr>
          <w:rFonts w:hint="eastAsia" w:ascii="宋体" w:hAnsi="宋体"/>
          <w:bCs/>
          <w:sz w:val="21"/>
          <w:szCs w:val="21"/>
        </w:rPr>
        <w:t>DRGS医疗质量数据分析服务</w:t>
      </w:r>
      <w:r>
        <w:rPr>
          <w:rFonts w:hint="eastAsia" w:ascii="宋体" w:hAnsi="宋体"/>
          <w:bCs/>
          <w:sz w:val="21"/>
          <w:szCs w:val="21"/>
          <w:lang w:eastAsia="zh-CN"/>
        </w:rPr>
        <w:t>项目</w:t>
      </w:r>
    </w:p>
    <w:p w14:paraId="7A95A8C3">
      <w:pPr>
        <w:adjustRightInd w:val="0"/>
        <w:snapToGrid w:val="0"/>
        <w:spacing w:line="360" w:lineRule="auto"/>
        <w:ind w:left="-2" w:leftChars="-1" w:firstLine="420" w:firstLineChars="200"/>
        <w:rPr>
          <w:rFonts w:hint="eastAsia" w:ascii="宋体" w:hAnsi="宋体"/>
          <w:sz w:val="21"/>
          <w:szCs w:val="21"/>
        </w:rPr>
      </w:pPr>
      <w:r>
        <w:rPr>
          <w:rFonts w:hint="eastAsia" w:ascii="宋体" w:hAnsi="宋体"/>
          <w:sz w:val="21"/>
          <w:szCs w:val="21"/>
        </w:rPr>
        <w:t>2、招标人：台州</w:t>
      </w:r>
      <w:r>
        <w:rPr>
          <w:rFonts w:hint="eastAsia" w:ascii="宋体" w:hAnsi="宋体"/>
          <w:sz w:val="21"/>
          <w:szCs w:val="21"/>
          <w:lang w:val="en-US" w:eastAsia="zh-CN"/>
        </w:rPr>
        <w:t>市中</w:t>
      </w:r>
      <w:r>
        <w:rPr>
          <w:rFonts w:hint="eastAsia" w:ascii="宋体" w:hAnsi="宋体"/>
          <w:sz w:val="21"/>
          <w:szCs w:val="21"/>
        </w:rPr>
        <w:t>医院</w:t>
      </w:r>
    </w:p>
    <w:p w14:paraId="0284D97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3、中标人：由评标小组综合评审后，评选出对招标文件做出实质性响应综合竞争力最优、报价合理、有能力为用户提供产品和服务、获得供货合同的投标人。</w:t>
      </w:r>
    </w:p>
    <w:p w14:paraId="47912A33">
      <w:pPr>
        <w:adjustRightInd w:val="0"/>
        <w:snapToGrid w:val="0"/>
        <w:spacing w:line="360" w:lineRule="auto"/>
        <w:ind w:firstLine="420" w:firstLineChars="200"/>
        <w:rPr>
          <w:rFonts w:hint="eastAsia" w:ascii="宋体" w:hAnsi="宋体"/>
          <w:sz w:val="28"/>
          <w:szCs w:val="28"/>
        </w:rPr>
      </w:pPr>
      <w:r>
        <w:rPr>
          <w:rFonts w:hint="eastAsia" w:ascii="宋体" w:hAnsi="宋体"/>
          <w:sz w:val="21"/>
          <w:szCs w:val="21"/>
        </w:rPr>
        <w:t>4、招标人对未中标的设计方案不做任何补偿。</w:t>
      </w:r>
    </w:p>
    <w:p w14:paraId="4C96400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二、项目服务对象及投标有效日期等说明：</w:t>
      </w:r>
    </w:p>
    <w:p w14:paraId="4682F130">
      <w:pPr>
        <w:adjustRightInd w:val="0"/>
        <w:snapToGrid w:val="0"/>
        <w:spacing w:line="360" w:lineRule="auto"/>
        <w:ind w:firstLine="420" w:firstLineChars="200"/>
        <w:rPr>
          <w:rFonts w:hint="default" w:ascii="宋体" w:hAnsi="宋体" w:eastAsia="宋体"/>
          <w:sz w:val="21"/>
          <w:szCs w:val="21"/>
          <w:lang w:val="en-US" w:eastAsia="zh-CN"/>
        </w:rPr>
      </w:pPr>
      <w:r>
        <w:rPr>
          <w:rFonts w:hint="eastAsia" w:ascii="宋体" w:hAnsi="宋体"/>
          <w:sz w:val="21"/>
          <w:szCs w:val="21"/>
        </w:rPr>
        <w:t>1、服务对象及地点：台州</w:t>
      </w:r>
      <w:r>
        <w:rPr>
          <w:rFonts w:hint="eastAsia" w:ascii="宋体" w:hAnsi="宋体"/>
          <w:sz w:val="21"/>
          <w:szCs w:val="21"/>
          <w:lang w:val="en-US" w:eastAsia="zh-CN"/>
        </w:rPr>
        <w:t>市中</w:t>
      </w:r>
      <w:r>
        <w:rPr>
          <w:rFonts w:hint="eastAsia" w:ascii="宋体" w:hAnsi="宋体"/>
          <w:sz w:val="21"/>
          <w:szCs w:val="21"/>
        </w:rPr>
        <w:t>医院</w:t>
      </w:r>
    </w:p>
    <w:p w14:paraId="59FAE53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在投标截止时间后递交的投标文件概不接受，投标人递交的文件、材料概不退回。</w:t>
      </w:r>
    </w:p>
    <w:p w14:paraId="77658BC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2、无论中标与否，投标人所用投标费用自行承担。</w:t>
      </w:r>
    </w:p>
    <w:p w14:paraId="32AD785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3、投标时需提供所投标段打</w:t>
      </w:r>
      <w:r>
        <w:rPr>
          <w:rFonts w:hint="eastAsia" w:ascii="宋体" w:hAnsi="宋体" w:cs="宋体"/>
          <w:b/>
          <w:bCs/>
          <w:kern w:val="0"/>
          <w:sz w:val="21"/>
          <w:szCs w:val="21"/>
        </w:rPr>
        <w:t>★号</w:t>
      </w:r>
      <w:r>
        <w:rPr>
          <w:rFonts w:hint="eastAsia" w:ascii="宋体" w:hAnsi="宋体"/>
          <w:sz w:val="21"/>
          <w:szCs w:val="21"/>
        </w:rPr>
        <w:t>的样品。</w:t>
      </w:r>
    </w:p>
    <w:p w14:paraId="44DC09DA">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三、招标文件说明：</w:t>
      </w:r>
    </w:p>
    <w:p w14:paraId="62F2FFB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1、本招标文件仅适用于本次投标中所述的项目</w:t>
      </w:r>
    </w:p>
    <w:p w14:paraId="685164E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2、招标文件的澄清或修改：招标人对招标文件必要的澄清和修改内容须在提交投标文件截止时间前，以书面形式通知所有领取招标文件的投标人。澄清和修改的内容将构成招标文件的组成部分。</w:t>
      </w:r>
    </w:p>
    <w:p w14:paraId="7A1343DB">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四、投标文件的编写：</w:t>
      </w:r>
    </w:p>
    <w:p w14:paraId="1F9E56CC">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投标人需按照招标文件的要求准备投</w:t>
      </w:r>
      <w:r>
        <w:rPr>
          <w:rFonts w:hint="eastAsia" w:ascii="宋体" w:hAnsi="宋体"/>
          <w:sz w:val="21"/>
          <w:szCs w:val="21"/>
          <w:lang w:val="en-US" w:eastAsia="zh-CN"/>
        </w:rPr>
        <w:t>标</w:t>
      </w:r>
      <w:r>
        <w:rPr>
          <w:rFonts w:hint="eastAsia" w:ascii="宋体" w:hAnsi="宋体"/>
          <w:sz w:val="21"/>
          <w:szCs w:val="21"/>
        </w:rPr>
        <w:t>文件，并保证所提供的全部资料的真实性、准确性及完整性，以使其报价对招标文件作出实质性响应，否则其投标有可能被评标小组否决。</w:t>
      </w:r>
    </w:p>
    <w:p w14:paraId="5F43C520">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（一）投标文件的组成：</w:t>
      </w:r>
    </w:p>
    <w:p w14:paraId="14957C2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1、报价函</w:t>
      </w:r>
    </w:p>
    <w:p w14:paraId="397029D4">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2、企业法人营业执照的副本复印件、税务</w:t>
      </w:r>
      <w:r>
        <w:rPr>
          <w:rFonts w:ascii="宋体" w:hAnsi="宋体"/>
          <w:sz w:val="21"/>
          <w:szCs w:val="21"/>
        </w:rPr>
        <w:t>登记证和</w:t>
      </w:r>
      <w:r>
        <w:rPr>
          <w:rFonts w:hint="eastAsia" w:ascii="宋体" w:hAnsi="宋体"/>
          <w:sz w:val="21"/>
          <w:szCs w:val="21"/>
        </w:rPr>
        <w:t>组织</w:t>
      </w:r>
      <w:r>
        <w:rPr>
          <w:rFonts w:ascii="宋体" w:hAnsi="宋体"/>
          <w:sz w:val="21"/>
          <w:szCs w:val="21"/>
        </w:rPr>
        <w:t>结构代码证（</w:t>
      </w:r>
      <w:r>
        <w:rPr>
          <w:rFonts w:hint="eastAsia" w:ascii="宋体" w:hAnsi="宋体"/>
          <w:sz w:val="21"/>
          <w:szCs w:val="21"/>
        </w:rPr>
        <w:t>或</w:t>
      </w:r>
      <w:r>
        <w:rPr>
          <w:rFonts w:ascii="宋体" w:hAnsi="宋体"/>
          <w:sz w:val="21"/>
          <w:szCs w:val="21"/>
        </w:rPr>
        <w:t>三证合一</w:t>
      </w:r>
      <w:r>
        <w:rPr>
          <w:rFonts w:hint="eastAsia" w:ascii="宋体" w:hAnsi="宋体"/>
          <w:sz w:val="21"/>
          <w:szCs w:val="21"/>
        </w:rPr>
        <w:t>，加盖公章</w:t>
      </w:r>
      <w:r>
        <w:rPr>
          <w:rFonts w:ascii="宋体" w:hAnsi="宋体"/>
          <w:sz w:val="21"/>
          <w:szCs w:val="21"/>
        </w:rPr>
        <w:t>）</w:t>
      </w:r>
    </w:p>
    <w:p w14:paraId="1F65F5E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3</w:t>
      </w:r>
      <w:r>
        <w:rPr>
          <w:rFonts w:hint="eastAsia" w:ascii="宋体" w:hAnsi="宋体"/>
          <w:sz w:val="21"/>
          <w:szCs w:val="21"/>
        </w:rPr>
        <w:t>、投标人认为需要提交的其他相关证明文件</w:t>
      </w:r>
    </w:p>
    <w:p w14:paraId="78BA3118">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4</w:t>
      </w:r>
      <w:r>
        <w:rPr>
          <w:rFonts w:hint="eastAsia" w:ascii="宋体" w:hAnsi="宋体"/>
          <w:sz w:val="21"/>
          <w:szCs w:val="21"/>
        </w:rPr>
        <w:t>、品牌、产地说明</w:t>
      </w:r>
    </w:p>
    <w:p w14:paraId="08E2845D">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5</w:t>
      </w:r>
      <w:r>
        <w:rPr>
          <w:rFonts w:hint="eastAsia" w:ascii="宋体" w:hAnsi="宋体"/>
          <w:sz w:val="21"/>
          <w:szCs w:val="21"/>
        </w:rPr>
        <w:t>、质量承诺说明</w:t>
      </w:r>
    </w:p>
    <w:p w14:paraId="193CE35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6</w:t>
      </w:r>
      <w:r>
        <w:rPr>
          <w:rFonts w:hint="eastAsia" w:ascii="宋体" w:hAnsi="宋体"/>
          <w:sz w:val="21"/>
          <w:szCs w:val="21"/>
        </w:rPr>
        <w:t>、到货日期</w:t>
      </w:r>
    </w:p>
    <w:p w14:paraId="3676B5E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en-US" w:eastAsia="zh-CN"/>
        </w:rPr>
        <w:t>7</w:t>
      </w:r>
      <w:r>
        <w:rPr>
          <w:rFonts w:hint="eastAsia" w:ascii="宋体" w:hAnsi="宋体"/>
          <w:sz w:val="21"/>
          <w:szCs w:val="21"/>
        </w:rPr>
        <w:t>、其他优惠承诺</w:t>
      </w:r>
    </w:p>
    <w:p w14:paraId="529DC230">
      <w:pPr>
        <w:adjustRightInd w:val="0"/>
        <w:snapToGrid w:val="0"/>
        <w:spacing w:line="360" w:lineRule="auto"/>
        <w:ind w:firstLine="422" w:firstLineChars="200"/>
        <w:rPr>
          <w:rFonts w:hint="eastAsia" w:ascii="宋体" w:hAnsi="宋体"/>
          <w:b/>
          <w:sz w:val="21"/>
          <w:szCs w:val="21"/>
        </w:rPr>
      </w:pPr>
      <w:r>
        <w:rPr>
          <w:rFonts w:hint="eastAsia" w:ascii="宋体" w:hAnsi="宋体"/>
          <w:b/>
          <w:sz w:val="21"/>
          <w:szCs w:val="21"/>
        </w:rPr>
        <w:t>备注：报价说明：</w:t>
      </w:r>
    </w:p>
    <w:p w14:paraId="2B6731ED">
      <w:pPr>
        <w:adjustRightInd w:val="0"/>
        <w:snapToGrid w:val="0"/>
        <w:spacing w:line="360" w:lineRule="auto"/>
        <w:ind w:firstLine="420" w:firstLineChars="200"/>
        <w:rPr>
          <w:rFonts w:hint="eastAsia" w:ascii="宋体" w:hAnsi="宋体"/>
          <w:b/>
          <w:sz w:val="21"/>
          <w:szCs w:val="21"/>
        </w:rPr>
      </w:pPr>
      <w:r>
        <w:rPr>
          <w:rFonts w:hint="eastAsia" w:ascii="宋体" w:hAnsi="宋体"/>
          <w:sz w:val="21"/>
          <w:szCs w:val="21"/>
        </w:rPr>
        <w:t>1、报价系供货、安装及验收合格所有费用。</w:t>
      </w:r>
    </w:p>
    <w:p w14:paraId="4AA1C4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2、如果报价大小写不一致，以大写为准。</w:t>
      </w:r>
    </w:p>
    <w:p w14:paraId="444762AF">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3、投标人提供分项单价和总价如果单价与总价不符，以单价为准。</w:t>
      </w:r>
    </w:p>
    <w:p w14:paraId="75D9D999">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（二）投标文件的密封和标记</w:t>
      </w:r>
    </w:p>
    <w:p w14:paraId="59DF289E">
      <w:pPr>
        <w:autoSpaceDE w:val="0"/>
        <w:autoSpaceDN w:val="0"/>
        <w:adjustRightInd w:val="0"/>
        <w:spacing w:line="360" w:lineRule="auto"/>
        <w:ind w:firstLine="205" w:firstLineChars="98"/>
        <w:rPr>
          <w:rFonts w:hint="eastAsia" w:ascii="宋体" w:hAnsi="宋体"/>
          <w:sz w:val="21"/>
          <w:szCs w:val="21"/>
        </w:rPr>
      </w:pPr>
      <w:r>
        <w:rPr>
          <w:rFonts w:hint="eastAsia" w:ascii="宋体" w:hAnsi="宋体"/>
          <w:sz w:val="21"/>
          <w:szCs w:val="21"/>
        </w:rPr>
        <w:t>1、</w:t>
      </w:r>
      <w:r>
        <w:rPr>
          <w:rFonts w:hint="eastAsia" w:ascii="宋体"/>
          <w:b w:val="0"/>
          <w:bCs/>
          <w:sz w:val="21"/>
          <w:szCs w:val="21"/>
          <w:lang w:val="zh-CN"/>
        </w:rPr>
        <w:t>资格证明文件、</w:t>
      </w:r>
      <w:r>
        <w:rPr>
          <w:rFonts w:hint="eastAsia" w:ascii="宋体"/>
          <w:b w:val="0"/>
          <w:bCs/>
          <w:sz w:val="21"/>
          <w:szCs w:val="21"/>
        </w:rPr>
        <w:t>商务与技术文件、</w:t>
      </w:r>
      <w:r>
        <w:rPr>
          <w:rFonts w:hint="eastAsia" w:ascii="宋体" w:hAnsi="宋体"/>
          <w:b w:val="0"/>
          <w:bCs/>
          <w:sz w:val="21"/>
          <w:szCs w:val="21"/>
          <w:lang w:val="zh-CN"/>
        </w:rPr>
        <w:t>报价文件</w:t>
      </w:r>
      <w:r>
        <w:rPr>
          <w:rFonts w:hint="eastAsia" w:ascii="宋体" w:hAnsi="宋体"/>
          <w:b w:val="0"/>
          <w:bCs/>
          <w:sz w:val="21"/>
          <w:szCs w:val="21"/>
        </w:rPr>
        <w:t>各</w:t>
      </w:r>
      <w:r>
        <w:rPr>
          <w:rFonts w:hint="eastAsia" w:ascii="宋体" w:hAnsi="宋体"/>
          <w:b w:val="0"/>
          <w:bCs/>
          <w:sz w:val="21"/>
          <w:szCs w:val="21"/>
          <w:u w:val="single"/>
          <w:lang w:val="zh-CN"/>
        </w:rPr>
        <w:t xml:space="preserve"> </w:t>
      </w:r>
      <w:r>
        <w:rPr>
          <w:rFonts w:hint="eastAsia" w:ascii="宋体" w:hAnsi="宋体"/>
          <w:b w:val="0"/>
          <w:bCs/>
          <w:sz w:val="21"/>
          <w:szCs w:val="21"/>
          <w:u w:val="single"/>
          <w:lang w:val="en-US" w:eastAsia="zh-CN"/>
        </w:rPr>
        <w:t>3</w:t>
      </w:r>
      <w:r>
        <w:rPr>
          <w:rFonts w:hint="eastAsia" w:ascii="宋体" w:hAnsi="宋体"/>
          <w:b w:val="0"/>
          <w:bCs/>
          <w:sz w:val="21"/>
          <w:szCs w:val="21"/>
          <w:u w:val="single"/>
        </w:rPr>
        <w:t xml:space="preserve"> </w:t>
      </w:r>
      <w:r>
        <w:rPr>
          <w:rFonts w:hint="eastAsia" w:ascii="宋体" w:hAnsi="宋体"/>
          <w:b w:val="0"/>
          <w:bCs/>
          <w:sz w:val="21"/>
          <w:szCs w:val="21"/>
          <w:lang w:val="zh-CN"/>
        </w:rPr>
        <w:t>份</w:t>
      </w:r>
      <w:r>
        <w:rPr>
          <w:rFonts w:hint="eastAsia" w:ascii="宋体"/>
          <w:b w:val="0"/>
          <w:bCs/>
          <w:sz w:val="21"/>
          <w:szCs w:val="21"/>
          <w:lang w:val="zh-CN"/>
        </w:rPr>
        <w:t>（一正本二副本），</w:t>
      </w:r>
      <w:r>
        <w:rPr>
          <w:rFonts w:hint="eastAsia" w:ascii="宋体" w:hAnsi="宋体"/>
          <w:b w:val="0"/>
          <w:bCs/>
          <w:sz w:val="21"/>
          <w:szCs w:val="21"/>
          <w:lang w:val="zh-CN"/>
        </w:rPr>
        <w:t>投标文件的正本封面必须注明“正本”字样，副本可以采用正本的复印件。</w:t>
      </w:r>
      <w:r>
        <w:rPr>
          <w:rFonts w:hint="eastAsia" w:ascii="宋体" w:hAnsi="宋体"/>
          <w:sz w:val="21"/>
          <w:szCs w:val="21"/>
        </w:rPr>
        <w:t>一旦正本与副本有差异，以正本为准。</w:t>
      </w:r>
    </w:p>
    <w:p w14:paraId="6268DD46">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2、投标人应将投标文件密封并加盖公章。</w:t>
      </w:r>
    </w:p>
    <w:p w14:paraId="1FD13902">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（三）合格的投标人</w:t>
      </w:r>
    </w:p>
    <w:p w14:paraId="1B2C5E0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1、投标人应为具有独立法人资格的厂家，所投标的标的总金额不能大于其注册资金。</w:t>
      </w:r>
    </w:p>
    <w:p w14:paraId="2A8B962E">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2、提供的资格、资质证明文件真实有效。</w:t>
      </w:r>
    </w:p>
    <w:p w14:paraId="0B882597">
      <w:pPr>
        <w:adjustRightInd w:val="0"/>
        <w:snapToGrid w:val="0"/>
        <w:spacing w:line="360" w:lineRule="auto"/>
        <w:ind w:firstLine="420" w:firstLineChars="200"/>
        <w:rPr>
          <w:rFonts w:hint="eastAsia" w:ascii="宋体" w:hAnsi="宋体"/>
          <w:sz w:val="21"/>
          <w:szCs w:val="21"/>
        </w:rPr>
      </w:pPr>
      <w:r>
        <w:rPr>
          <w:rFonts w:hint="eastAsia" w:ascii="宋体" w:hAnsi="宋体"/>
          <w:sz w:val="21"/>
          <w:szCs w:val="21"/>
        </w:rPr>
        <w:t>3、提供公司业执照复印件，法人及授权人身份证复印件，均需加盖公章。</w:t>
      </w:r>
    </w:p>
    <w:p w14:paraId="34855C8C">
      <w:pPr>
        <w:adjustRightInd w:val="0"/>
        <w:snapToGrid w:val="0"/>
        <w:spacing w:line="360" w:lineRule="auto"/>
        <w:ind w:firstLine="413" w:firstLineChars="196"/>
        <w:rPr>
          <w:rFonts w:hint="eastAsia" w:ascii="宋体" w:hAnsi="宋体"/>
          <w:b/>
          <w:sz w:val="21"/>
          <w:szCs w:val="21"/>
        </w:rPr>
      </w:pPr>
      <w:r>
        <w:rPr>
          <w:rFonts w:hint="eastAsia" w:ascii="宋体" w:hAnsi="宋体"/>
          <w:b/>
          <w:sz w:val="21"/>
          <w:szCs w:val="21"/>
        </w:rPr>
        <w:t>五、无效报价：</w:t>
      </w:r>
    </w:p>
    <w:p w14:paraId="5F97904F">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1、投标人文件不完整。</w:t>
      </w:r>
    </w:p>
    <w:p w14:paraId="2548F557">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2、投标资料不真实。</w:t>
      </w:r>
    </w:p>
    <w:p w14:paraId="3A1042C4">
      <w:pPr>
        <w:adjustRightInd w:val="0"/>
        <w:snapToGrid w:val="0"/>
        <w:spacing w:line="360" w:lineRule="auto"/>
        <w:ind w:firstLine="411" w:firstLineChars="196"/>
        <w:rPr>
          <w:rFonts w:hint="eastAsia" w:ascii="宋体" w:hAnsi="宋体"/>
          <w:b/>
          <w:sz w:val="21"/>
          <w:szCs w:val="21"/>
        </w:rPr>
      </w:pPr>
      <w:r>
        <w:rPr>
          <w:rFonts w:hint="eastAsia" w:ascii="宋体" w:hAnsi="宋体"/>
          <w:sz w:val="21"/>
          <w:szCs w:val="21"/>
        </w:rPr>
        <w:t>3、串通报价。</w:t>
      </w:r>
    </w:p>
    <w:p w14:paraId="14E0FC24">
      <w:pPr>
        <w:adjustRightInd w:val="0"/>
        <w:snapToGrid w:val="0"/>
        <w:spacing w:line="360" w:lineRule="auto"/>
        <w:ind w:firstLine="411" w:firstLineChars="196"/>
        <w:rPr>
          <w:rFonts w:hint="eastAsia" w:ascii="宋体" w:hAnsi="宋体"/>
          <w:sz w:val="21"/>
          <w:szCs w:val="21"/>
        </w:rPr>
      </w:pPr>
      <w:r>
        <w:rPr>
          <w:rFonts w:hint="eastAsia" w:ascii="宋体" w:hAnsi="宋体"/>
          <w:sz w:val="21"/>
          <w:szCs w:val="21"/>
        </w:rPr>
        <w:t>4、法律、法规规则定的其他情况。</w:t>
      </w:r>
    </w:p>
    <w:p w14:paraId="09A6BCD0">
      <w:pPr>
        <w:adjustRightInd w:val="0"/>
        <w:snapToGrid w:val="0"/>
        <w:spacing w:line="360" w:lineRule="auto"/>
        <w:ind w:firstLine="420" w:firstLineChars="200"/>
        <w:rPr>
          <w:rFonts w:hint="eastAsia" w:ascii="宋体" w:hAnsi="宋体"/>
          <w:sz w:val="21"/>
          <w:szCs w:val="21"/>
        </w:rPr>
      </w:pPr>
    </w:p>
    <w:p w14:paraId="3922AD80">
      <w:pPr>
        <w:pStyle w:val="4"/>
        <w:jc w:val="left"/>
        <w:rPr>
          <w:rFonts w:hint="default" w:hAnsi="宋体" w:eastAsia="宋体" w:cs="宋体"/>
          <w:sz w:val="24"/>
          <w:szCs w:val="24"/>
          <w:lang w:val="en-US" w:eastAsia="zh-CN"/>
        </w:rPr>
      </w:pPr>
      <w:r>
        <w:rPr>
          <w:rFonts w:hint="eastAsia" w:hAnsi="宋体" w:cs="宋体"/>
          <w:sz w:val="24"/>
          <w:szCs w:val="24"/>
          <w:lang w:val="en-US" w:eastAsia="zh-CN"/>
        </w:rPr>
        <w:t xml:space="preserve">                    </w:t>
      </w:r>
      <w:r>
        <w:rPr>
          <w:rFonts w:hint="eastAsia" w:hAnsi="宋体" w:cs="宋体"/>
          <w:sz w:val="32"/>
          <w:szCs w:val="32"/>
          <w:lang w:val="en-US" w:eastAsia="zh-CN"/>
        </w:rPr>
        <w:t xml:space="preserve"> 第二部分：招 标 需 求</w:t>
      </w:r>
    </w:p>
    <w:p w14:paraId="68432739">
      <w:pPr>
        <w:pStyle w:val="4"/>
        <w:jc w:val="left"/>
        <w:rPr>
          <w:rFonts w:hAnsi="宋体" w:cs="宋体"/>
          <w:sz w:val="24"/>
          <w:szCs w:val="24"/>
        </w:rPr>
      </w:pPr>
    </w:p>
    <w:p w14:paraId="23108E72">
      <w:pPr>
        <w:spacing w:line="360" w:lineRule="auto"/>
        <w:jc w:val="left"/>
        <w:rPr>
          <w:rFonts w:ascii="宋体" w:hAnsi="宋体"/>
          <w:b/>
          <w:szCs w:val="21"/>
        </w:rPr>
      </w:pPr>
      <w:bookmarkStart w:id="0" w:name="_Toc458886103"/>
      <w:r>
        <w:rPr>
          <w:rFonts w:hint="eastAsia" w:ascii="宋体" w:hAnsi="宋体"/>
          <w:b/>
          <w:szCs w:val="21"/>
        </w:rPr>
        <w:t>一、项目概况</w:t>
      </w:r>
    </w:p>
    <w:p w14:paraId="6193244A">
      <w:pPr>
        <w:spacing w:line="360" w:lineRule="auto"/>
        <w:ind w:firstLine="420" w:firstLineChars="200"/>
        <w:jc w:val="left"/>
        <w:rPr>
          <w:rFonts w:ascii="宋体" w:hAnsi="宋体"/>
          <w:bCs/>
          <w:szCs w:val="21"/>
        </w:rPr>
      </w:pPr>
      <w:r>
        <w:rPr>
          <w:rFonts w:hint="eastAsia" w:ascii="宋体" w:hAnsi="宋体"/>
          <w:bCs/>
          <w:szCs w:val="21"/>
        </w:rPr>
        <w:t>本次采购项目为</w:t>
      </w:r>
      <w:r>
        <w:rPr>
          <w:rFonts w:hint="eastAsia" w:ascii="宋体" w:hAnsi="宋体"/>
          <w:bCs/>
          <w:szCs w:val="21"/>
          <w:lang w:val="en-US" w:eastAsia="zh-CN"/>
        </w:rPr>
        <w:t>台州市中医院</w:t>
      </w:r>
      <w:r>
        <w:rPr>
          <w:rFonts w:hint="eastAsia" w:ascii="宋体" w:hAnsi="宋体"/>
          <w:bCs/>
          <w:szCs w:val="21"/>
        </w:rPr>
        <w:t>DRGS医疗质量数据分析服务采购项目，采购</w:t>
      </w:r>
      <w:r>
        <w:rPr>
          <w:rFonts w:hint="eastAsia" w:ascii="宋体" w:hAnsi="宋体"/>
          <w:bCs/>
          <w:color w:val="000000" w:themeColor="text1"/>
          <w:szCs w:val="21"/>
          <w:highlight w:val="none"/>
          <w14:textFill>
            <w14:solidFill>
              <w14:schemeClr w14:val="tx1"/>
            </w14:solidFill>
          </w14:textFill>
        </w:rPr>
        <w:t>预算</w:t>
      </w:r>
      <w:r>
        <w:rPr>
          <w:rFonts w:hint="eastAsia" w:ascii="宋体" w:hAnsi="宋体"/>
          <w:bCs/>
          <w:color w:val="000000" w:themeColor="text1"/>
          <w:szCs w:val="21"/>
          <w:highlight w:val="none"/>
          <w:lang w:val="en-US" w:eastAsia="zh-CN"/>
          <w14:textFill>
            <w14:solidFill>
              <w14:schemeClr w14:val="tx1"/>
            </w14:solidFill>
          </w14:textFill>
        </w:rPr>
        <w:t>12</w:t>
      </w:r>
      <w:r>
        <w:rPr>
          <w:rFonts w:hint="eastAsia" w:ascii="宋体" w:hAnsi="宋体"/>
          <w:bCs/>
          <w:color w:val="000000" w:themeColor="text1"/>
          <w:szCs w:val="21"/>
          <w:highlight w:val="none"/>
          <w14:textFill>
            <w14:solidFill>
              <w14:schemeClr w14:val="tx1"/>
            </w14:solidFill>
          </w14:textFill>
        </w:rPr>
        <w:t>万元人民币</w:t>
      </w:r>
      <w:r>
        <w:rPr>
          <w:rFonts w:hint="eastAsia" w:ascii="宋体" w:hAnsi="宋体"/>
          <w:bCs/>
          <w:szCs w:val="21"/>
        </w:rPr>
        <w:t>，工作量是为</w:t>
      </w:r>
      <w:r>
        <w:rPr>
          <w:rFonts w:hint="eastAsia" w:ascii="宋体" w:hAnsi="宋体"/>
          <w:bCs/>
          <w:szCs w:val="21"/>
          <w:lang w:val="en-US" w:eastAsia="zh-CN"/>
        </w:rPr>
        <w:t>台州市中医院</w:t>
      </w:r>
      <w:r>
        <w:rPr>
          <w:rFonts w:hint="eastAsia" w:ascii="宋体" w:hAnsi="宋体"/>
          <w:bCs/>
          <w:szCs w:val="21"/>
        </w:rPr>
        <w:t>采购安装DRGS医疗质量数据分析服务（即DRGS院内版和网页版），项目范围包括系统数据采集、调试、运行维护等。投标人报价不得超出采购预算，否则将被视为无效投标。</w:t>
      </w:r>
    </w:p>
    <w:p w14:paraId="0EDA89B6">
      <w:pPr>
        <w:spacing w:line="360" w:lineRule="auto"/>
        <w:jc w:val="left"/>
        <w:rPr>
          <w:rFonts w:ascii="宋体" w:hAnsi="宋体"/>
          <w:b/>
          <w:szCs w:val="21"/>
        </w:rPr>
      </w:pPr>
      <w:r>
        <w:rPr>
          <w:rFonts w:hint="eastAsia" w:ascii="宋体" w:hAnsi="宋体"/>
          <w:b/>
          <w:szCs w:val="21"/>
        </w:rPr>
        <w:t>二、采购内容及技术要求</w:t>
      </w:r>
    </w:p>
    <w:bookmarkEnd w:id="0"/>
    <w:p w14:paraId="0188A2CE">
      <w:pPr>
        <w:spacing w:line="360" w:lineRule="auto"/>
        <w:jc w:val="left"/>
        <w:rPr>
          <w:rFonts w:ascii="宋体" w:hAnsi="宋体"/>
          <w:b/>
          <w:szCs w:val="21"/>
        </w:rPr>
      </w:pPr>
      <w:r>
        <w:rPr>
          <w:rFonts w:hint="eastAsia" w:ascii="宋体" w:hAnsi="宋体"/>
          <w:b/>
          <w:szCs w:val="21"/>
        </w:rPr>
        <w:t>（一）建设背景</w:t>
      </w:r>
    </w:p>
    <w:p w14:paraId="60386F3B">
      <w:pPr>
        <w:spacing w:line="360" w:lineRule="auto"/>
        <w:ind w:firstLine="420" w:firstLineChars="200"/>
        <w:jc w:val="left"/>
        <w:rPr>
          <w:rFonts w:ascii="宋体" w:hAnsi="宋体"/>
          <w:bCs/>
          <w:szCs w:val="21"/>
        </w:rPr>
      </w:pPr>
      <w:r>
        <w:rPr>
          <w:rFonts w:hint="eastAsia" w:ascii="宋体" w:hAnsi="宋体"/>
          <w:bCs/>
          <w:szCs w:val="21"/>
        </w:rPr>
        <w:t>DRG（按疾病相关诊断分组）在世界广泛应用，其目的是根据年龄、疾病诊断、合并症、并发症、治疗方式、病症严重程度及转归等因素，将患者分入若干诊断组进行管理。DRG综合考虑了疾病严重度和复杂性，同时考虑医疗需要和医疗资源的使用强度，是一种“以病人为中心”的病例组合系统。DRG作为一个重要的医疗管理工具，在世界很多国家被成功应用于医院评价及医疗付费管理中，取得了良好的效果。世界上有超过40个国家引进DRG进行医疗服务管理。</w:t>
      </w:r>
    </w:p>
    <w:p w14:paraId="0A77A794">
      <w:pPr>
        <w:spacing w:line="360" w:lineRule="auto"/>
        <w:jc w:val="left"/>
        <w:rPr>
          <w:rFonts w:ascii="宋体" w:hAnsi="宋体"/>
          <w:b/>
          <w:szCs w:val="21"/>
        </w:rPr>
      </w:pPr>
    </w:p>
    <w:p w14:paraId="48145C64">
      <w:pPr>
        <w:spacing w:line="360" w:lineRule="auto"/>
        <w:jc w:val="left"/>
        <w:rPr>
          <w:rFonts w:ascii="宋体" w:hAnsi="宋体"/>
          <w:b/>
          <w:szCs w:val="21"/>
        </w:rPr>
      </w:pPr>
      <w:r>
        <w:rPr>
          <w:rFonts w:hint="eastAsia" w:ascii="宋体" w:hAnsi="宋体"/>
          <w:b/>
          <w:szCs w:val="21"/>
        </w:rPr>
        <w:t>（二）建设目标及要求</w:t>
      </w:r>
    </w:p>
    <w:p w14:paraId="37FDAD3F">
      <w:pPr>
        <w:spacing w:line="360" w:lineRule="auto"/>
        <w:ind w:firstLine="420" w:firstLineChars="200"/>
        <w:jc w:val="left"/>
        <w:rPr>
          <w:rFonts w:ascii="宋体" w:hAnsi="宋体"/>
          <w:bCs/>
          <w:szCs w:val="21"/>
        </w:rPr>
      </w:pPr>
      <w:r>
        <w:rPr>
          <w:rFonts w:hint="eastAsia" w:ascii="宋体" w:hAnsi="宋体"/>
          <w:bCs/>
          <w:szCs w:val="21"/>
        </w:rPr>
        <w:t>基于DRG院内</w:t>
      </w:r>
      <w:r>
        <w:rPr>
          <w:rFonts w:ascii="宋体" w:hAnsi="宋体"/>
          <w:bCs/>
          <w:szCs w:val="21"/>
        </w:rPr>
        <w:t>数据分析的要求，从医院的综合能力、疑难病例能力</w:t>
      </w:r>
      <w:r>
        <w:rPr>
          <w:rFonts w:hint="eastAsia" w:ascii="宋体" w:hAnsi="宋体"/>
          <w:bCs/>
          <w:szCs w:val="21"/>
        </w:rPr>
        <w:t>等</w:t>
      </w:r>
      <w:r>
        <w:rPr>
          <w:rFonts w:ascii="宋体" w:hAnsi="宋体"/>
          <w:bCs/>
          <w:szCs w:val="21"/>
        </w:rPr>
        <w:t>多方面对医院进行全面分析。针对高发病种、重点监控病种，分析各病种的病人的地区分布、年龄分布、死亡率等。通过对医院</w:t>
      </w:r>
      <w:r>
        <w:rPr>
          <w:rFonts w:hint="eastAsia" w:ascii="宋体" w:hAnsi="宋体"/>
          <w:bCs/>
          <w:szCs w:val="21"/>
        </w:rPr>
        <w:t>DRG</w:t>
      </w:r>
      <w:r>
        <w:rPr>
          <w:rFonts w:ascii="宋体" w:hAnsi="宋体"/>
          <w:bCs/>
          <w:szCs w:val="21"/>
        </w:rPr>
        <w:t>组的</w:t>
      </w:r>
      <w:r>
        <w:rPr>
          <w:rFonts w:hint="eastAsia" w:ascii="宋体" w:hAnsi="宋体"/>
          <w:bCs/>
          <w:szCs w:val="21"/>
        </w:rPr>
        <w:t>分析</w:t>
      </w:r>
      <w:r>
        <w:rPr>
          <w:rFonts w:ascii="宋体" w:hAnsi="宋体"/>
          <w:bCs/>
          <w:szCs w:val="21"/>
        </w:rPr>
        <w:t>，</w:t>
      </w:r>
      <w:r>
        <w:rPr>
          <w:rFonts w:hint="eastAsia" w:ascii="宋体" w:hAnsi="宋体"/>
          <w:bCs/>
          <w:szCs w:val="21"/>
        </w:rPr>
        <w:t>为医院医疗费用的控制提供参考</w:t>
      </w:r>
      <w:r>
        <w:rPr>
          <w:rFonts w:ascii="宋体" w:hAnsi="宋体"/>
          <w:bCs/>
          <w:szCs w:val="21"/>
        </w:rPr>
        <w:t>。</w:t>
      </w:r>
      <w:r>
        <w:rPr>
          <w:rFonts w:hint="eastAsia" w:ascii="宋体" w:hAnsi="宋体"/>
          <w:bCs/>
          <w:szCs w:val="21"/>
        </w:rPr>
        <w:t>系统</w:t>
      </w:r>
      <w:r>
        <w:rPr>
          <w:rFonts w:ascii="宋体" w:hAnsi="宋体"/>
          <w:bCs/>
          <w:szCs w:val="21"/>
        </w:rPr>
        <w:t>通过全面、精细化的分析数据，给业务部门和</w:t>
      </w:r>
      <w:r>
        <w:rPr>
          <w:rFonts w:hint="eastAsia" w:ascii="宋体" w:hAnsi="宋体"/>
          <w:bCs/>
          <w:szCs w:val="21"/>
        </w:rPr>
        <w:t>医院</w:t>
      </w:r>
      <w:r>
        <w:rPr>
          <w:rFonts w:ascii="宋体" w:hAnsi="宋体"/>
          <w:bCs/>
          <w:szCs w:val="21"/>
        </w:rPr>
        <w:t>领导决策提供准确的医疗信息参考。</w:t>
      </w:r>
    </w:p>
    <w:p w14:paraId="505A46A2">
      <w:pPr>
        <w:spacing w:line="360" w:lineRule="auto"/>
        <w:ind w:firstLine="315" w:firstLineChars="150"/>
        <w:jc w:val="left"/>
        <w:rPr>
          <w:rFonts w:ascii="宋体" w:hAnsi="宋体"/>
          <w:bCs/>
          <w:szCs w:val="21"/>
        </w:rPr>
      </w:pPr>
      <w:r>
        <w:rPr>
          <w:rFonts w:hint="eastAsia" w:ascii="宋体" w:hAnsi="宋体"/>
          <w:bCs/>
          <w:szCs w:val="21"/>
        </w:rPr>
        <w:t>DRG系统对每份出院病历展开分析，提供每个病例的详细DRG分组明细信息和手术分级信息。根据DRG组进行计算，包括CMI，相对复杂度权重RW，手术分级，病种结构，单病种排名等，将过去依靠数量的考核转变成为依靠质量的绩效考核，由粗放的考核转变为精细化管理。</w:t>
      </w:r>
    </w:p>
    <w:p w14:paraId="4566AABA">
      <w:pPr>
        <w:spacing w:line="360" w:lineRule="auto"/>
        <w:jc w:val="left"/>
        <w:rPr>
          <w:rFonts w:ascii="宋体" w:hAnsi="宋体"/>
          <w:b/>
          <w:szCs w:val="21"/>
        </w:rPr>
      </w:pPr>
      <w:r>
        <w:rPr>
          <w:rFonts w:hint="eastAsia" w:ascii="宋体" w:hAnsi="宋体"/>
          <w:b/>
          <w:szCs w:val="21"/>
        </w:rPr>
        <w:t>1.建设要求</w:t>
      </w:r>
    </w:p>
    <w:p w14:paraId="48B65378">
      <w:pPr>
        <w:spacing w:line="360" w:lineRule="auto"/>
        <w:ind w:firstLine="420" w:firstLineChars="200"/>
        <w:jc w:val="left"/>
        <w:rPr>
          <w:rFonts w:ascii="宋体" w:hAnsi="宋体"/>
          <w:bCs/>
          <w:szCs w:val="21"/>
        </w:rPr>
      </w:pPr>
      <w:r>
        <w:rPr>
          <w:rFonts w:hint="eastAsia" w:ascii="宋体" w:hAnsi="宋体"/>
          <w:bCs/>
          <w:szCs w:val="21"/>
          <w:lang w:val="en-US" w:eastAsia="zh-CN"/>
        </w:rPr>
        <w:t>台州市中医院</w:t>
      </w:r>
      <w:r>
        <w:rPr>
          <w:rFonts w:hint="eastAsia" w:ascii="宋体" w:hAnsi="宋体"/>
          <w:bCs/>
          <w:szCs w:val="21"/>
        </w:rPr>
        <w:t>安装DRGS医疗质量数据分析服务，建立和完善DRG医疗服务评价体系，探索建立医疗机构服务能力、服务效率、服务质量等方面的分析应用，服务公立医院改革。</w:t>
      </w:r>
    </w:p>
    <w:p w14:paraId="4282295A">
      <w:pPr>
        <w:spacing w:line="360" w:lineRule="auto"/>
        <w:jc w:val="left"/>
        <w:rPr>
          <w:rFonts w:ascii="宋体" w:hAnsi="宋体"/>
          <w:b/>
          <w:szCs w:val="21"/>
        </w:rPr>
      </w:pPr>
    </w:p>
    <w:p w14:paraId="4E6C6973">
      <w:pPr>
        <w:spacing w:line="360" w:lineRule="auto"/>
        <w:jc w:val="left"/>
        <w:rPr>
          <w:rFonts w:ascii="宋体" w:hAnsi="宋体"/>
          <w:b/>
          <w:szCs w:val="21"/>
        </w:rPr>
      </w:pPr>
      <w:r>
        <w:rPr>
          <w:rFonts w:hint="eastAsia" w:ascii="宋体" w:hAnsi="宋体"/>
          <w:b/>
          <w:szCs w:val="21"/>
        </w:rPr>
        <w:t xml:space="preserve">2.数据来源及编码要求 </w:t>
      </w:r>
    </w:p>
    <w:p w14:paraId="25ABC642">
      <w:pPr>
        <w:spacing w:line="360" w:lineRule="auto"/>
        <w:ind w:firstLine="420" w:firstLineChars="200"/>
        <w:jc w:val="left"/>
        <w:rPr>
          <w:rFonts w:ascii="宋体" w:hAnsi="宋体"/>
          <w:bCs/>
          <w:szCs w:val="21"/>
        </w:rPr>
      </w:pPr>
      <w:r>
        <w:rPr>
          <w:rFonts w:hint="eastAsia" w:ascii="宋体" w:hAnsi="宋体"/>
          <w:bCs/>
          <w:szCs w:val="21"/>
        </w:rPr>
        <w:t>本项目所使用病案数据均来自医院病案首页数据库（卫统4表）。所使用的疾病编码规则及版本均按照浙江省病案首页的填写要求执行。</w:t>
      </w:r>
    </w:p>
    <w:p w14:paraId="56605A49">
      <w:pPr>
        <w:spacing w:line="360" w:lineRule="auto"/>
        <w:jc w:val="left"/>
        <w:rPr>
          <w:rFonts w:ascii="宋体" w:hAnsi="宋体"/>
          <w:b/>
          <w:szCs w:val="21"/>
        </w:rPr>
      </w:pPr>
    </w:p>
    <w:p w14:paraId="32D2D1BB">
      <w:pPr>
        <w:spacing w:line="360" w:lineRule="auto"/>
        <w:jc w:val="left"/>
        <w:rPr>
          <w:rFonts w:ascii="宋体" w:hAnsi="宋体"/>
          <w:b/>
          <w:szCs w:val="21"/>
        </w:rPr>
      </w:pPr>
      <w:r>
        <w:rPr>
          <w:rFonts w:hint="eastAsia" w:ascii="宋体" w:hAnsi="宋体"/>
          <w:b/>
          <w:szCs w:val="21"/>
        </w:rPr>
        <w:t xml:space="preserve">3.功能要求 </w:t>
      </w:r>
    </w:p>
    <w:p w14:paraId="4729EB61">
      <w:pPr>
        <w:spacing w:line="360" w:lineRule="auto"/>
        <w:jc w:val="left"/>
        <w:rPr>
          <w:rFonts w:ascii="宋体" w:hAnsi="宋体"/>
          <w:b/>
          <w:szCs w:val="21"/>
        </w:rPr>
      </w:pPr>
      <w:r>
        <w:rPr>
          <w:rFonts w:hint="eastAsia" w:ascii="宋体" w:hAnsi="宋体"/>
          <w:b/>
          <w:szCs w:val="21"/>
        </w:rPr>
        <w:t>（1）数据审核</w:t>
      </w:r>
    </w:p>
    <w:p w14:paraId="560658F7">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为保证DRG数据分析的真实有效，对数据进行基本审核和DRG审核。</w:t>
      </w:r>
    </w:p>
    <w:p w14:paraId="00FD0E67">
      <w:pPr>
        <w:spacing w:line="360" w:lineRule="auto"/>
        <w:jc w:val="left"/>
        <w:rPr>
          <w:rFonts w:ascii="宋体" w:hAnsi="宋体"/>
          <w:b/>
          <w:szCs w:val="21"/>
        </w:rPr>
      </w:pPr>
      <w:r>
        <w:rPr>
          <w:rFonts w:hint="eastAsia" w:ascii="宋体" w:hAnsi="宋体"/>
          <w:b/>
          <w:szCs w:val="21"/>
        </w:rPr>
        <w:t>A.基本数据审核</w:t>
      </w:r>
    </w:p>
    <w:p w14:paraId="11359FA5">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针对上传的数据文件格式、字段格式、字段要求的值域等进行基本审核，反馈审核结果</w:t>
      </w:r>
    </w:p>
    <w:p w14:paraId="1E7BAAF3">
      <w:pPr>
        <w:spacing w:line="360" w:lineRule="auto"/>
        <w:jc w:val="left"/>
        <w:rPr>
          <w:rFonts w:ascii="宋体" w:hAnsi="宋体"/>
          <w:b/>
          <w:szCs w:val="21"/>
        </w:rPr>
      </w:pPr>
      <w:r>
        <w:rPr>
          <w:rFonts w:hint="eastAsia" w:ascii="宋体" w:hAnsi="宋体"/>
          <w:b/>
          <w:szCs w:val="21"/>
        </w:rPr>
        <w:t>B.DRG数据审核</w:t>
      </w:r>
      <w:r>
        <w:rPr>
          <w:rFonts w:hint="eastAsia"/>
        </w:rPr>
        <w:t>☆</w:t>
      </w:r>
    </w:p>
    <w:p w14:paraId="01A118F8">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通过基本审核的数据，针对DRG分组的需要，能审核出以下内容：</w:t>
      </w:r>
    </w:p>
    <w:p w14:paraId="3E203109">
      <w:pPr>
        <w:numPr>
          <w:ilvl w:val="0"/>
          <w:numId w:val="1"/>
        </w:numPr>
        <w:spacing w:line="360" w:lineRule="auto"/>
        <w:jc w:val="left"/>
        <w:rPr>
          <w:rFonts w:ascii="宋体" w:hAnsi="宋体"/>
          <w:bCs/>
          <w:szCs w:val="21"/>
        </w:rPr>
      </w:pPr>
      <w:r>
        <w:rPr>
          <w:rFonts w:hint="eastAsia" w:ascii="宋体" w:hAnsi="宋体"/>
          <w:bCs/>
          <w:szCs w:val="21"/>
        </w:rPr>
        <w:t>不规范诊断</w:t>
      </w:r>
    </w:p>
    <w:p w14:paraId="3C428263">
      <w:pPr>
        <w:numPr>
          <w:ilvl w:val="0"/>
          <w:numId w:val="1"/>
        </w:numPr>
        <w:spacing w:line="360" w:lineRule="auto"/>
        <w:jc w:val="left"/>
        <w:rPr>
          <w:rFonts w:ascii="宋体" w:hAnsi="宋体"/>
          <w:bCs/>
          <w:szCs w:val="21"/>
        </w:rPr>
      </w:pPr>
      <w:r>
        <w:rPr>
          <w:rFonts w:hint="eastAsia" w:ascii="宋体" w:hAnsi="宋体"/>
          <w:bCs/>
          <w:szCs w:val="21"/>
        </w:rPr>
        <w:t>非标准编码</w:t>
      </w:r>
    </w:p>
    <w:p w14:paraId="1AE9DBBD">
      <w:pPr>
        <w:numPr>
          <w:ilvl w:val="0"/>
          <w:numId w:val="1"/>
        </w:numPr>
        <w:spacing w:line="360" w:lineRule="auto"/>
        <w:jc w:val="left"/>
        <w:rPr>
          <w:rFonts w:ascii="宋体" w:hAnsi="宋体"/>
          <w:bCs/>
          <w:szCs w:val="21"/>
        </w:rPr>
      </w:pPr>
      <w:r>
        <w:rPr>
          <w:rFonts w:hint="eastAsia" w:ascii="宋体" w:hAnsi="宋体"/>
          <w:bCs/>
          <w:szCs w:val="21"/>
        </w:rPr>
        <w:t>无效主诊断</w:t>
      </w:r>
    </w:p>
    <w:p w14:paraId="77FFDD0B">
      <w:pPr>
        <w:numPr>
          <w:ilvl w:val="0"/>
          <w:numId w:val="1"/>
        </w:numPr>
        <w:spacing w:line="360" w:lineRule="auto"/>
        <w:jc w:val="left"/>
        <w:rPr>
          <w:rFonts w:ascii="宋体" w:hAnsi="宋体"/>
          <w:bCs/>
          <w:szCs w:val="21"/>
        </w:rPr>
      </w:pPr>
      <w:r>
        <w:rPr>
          <w:rFonts w:hint="eastAsia" w:ascii="宋体" w:hAnsi="宋体"/>
          <w:bCs/>
          <w:szCs w:val="21"/>
        </w:rPr>
        <w:t>无效主手术</w:t>
      </w:r>
    </w:p>
    <w:p w14:paraId="79C5B08F">
      <w:pPr>
        <w:numPr>
          <w:ilvl w:val="0"/>
          <w:numId w:val="1"/>
        </w:numPr>
        <w:spacing w:line="360" w:lineRule="auto"/>
        <w:jc w:val="left"/>
        <w:rPr>
          <w:rFonts w:ascii="宋体" w:hAnsi="宋体"/>
          <w:bCs/>
          <w:szCs w:val="21"/>
        </w:rPr>
      </w:pPr>
      <w:r>
        <w:rPr>
          <w:rFonts w:hint="eastAsia" w:ascii="宋体" w:hAnsi="宋体"/>
          <w:bCs/>
          <w:szCs w:val="21"/>
        </w:rPr>
        <w:t>手术部位未指明</w:t>
      </w:r>
    </w:p>
    <w:p w14:paraId="794B1866">
      <w:pPr>
        <w:numPr>
          <w:ilvl w:val="0"/>
          <w:numId w:val="1"/>
        </w:numPr>
        <w:spacing w:line="360" w:lineRule="auto"/>
        <w:jc w:val="left"/>
        <w:rPr>
          <w:rFonts w:ascii="宋体" w:hAnsi="宋体"/>
          <w:bCs/>
          <w:szCs w:val="21"/>
        </w:rPr>
      </w:pPr>
      <w:r>
        <w:rPr>
          <w:rFonts w:hint="eastAsia" w:ascii="宋体" w:hAnsi="宋体"/>
          <w:bCs/>
          <w:szCs w:val="21"/>
        </w:rPr>
        <w:t>与年龄/体重不符合的新生儿诊断</w:t>
      </w:r>
    </w:p>
    <w:p w14:paraId="013A0759">
      <w:pPr>
        <w:numPr>
          <w:ilvl w:val="0"/>
          <w:numId w:val="1"/>
        </w:numPr>
        <w:spacing w:line="360" w:lineRule="auto"/>
        <w:jc w:val="left"/>
        <w:rPr>
          <w:rFonts w:ascii="宋体" w:hAnsi="宋体"/>
          <w:bCs/>
          <w:szCs w:val="21"/>
        </w:rPr>
      </w:pPr>
      <w:r>
        <w:rPr>
          <w:rFonts w:hint="eastAsia" w:ascii="宋体" w:hAnsi="宋体"/>
          <w:bCs/>
          <w:szCs w:val="21"/>
        </w:rPr>
        <w:t>非新生儿主要诊断错误</w:t>
      </w:r>
    </w:p>
    <w:p w14:paraId="79A6211B">
      <w:pPr>
        <w:numPr>
          <w:ilvl w:val="0"/>
          <w:numId w:val="1"/>
        </w:numPr>
        <w:spacing w:line="360" w:lineRule="auto"/>
        <w:jc w:val="left"/>
        <w:rPr>
          <w:rFonts w:ascii="宋体" w:hAnsi="宋体"/>
          <w:bCs/>
          <w:szCs w:val="21"/>
        </w:rPr>
      </w:pPr>
      <w:r>
        <w:rPr>
          <w:rFonts w:hint="eastAsia" w:ascii="宋体" w:hAnsi="宋体"/>
          <w:bCs/>
          <w:szCs w:val="21"/>
        </w:rPr>
        <w:t>无死亡风险主要诊断转归死亡</w:t>
      </w:r>
    </w:p>
    <w:p w14:paraId="0785909F">
      <w:pPr>
        <w:numPr>
          <w:ilvl w:val="0"/>
          <w:numId w:val="1"/>
        </w:numPr>
        <w:spacing w:line="360" w:lineRule="auto"/>
        <w:jc w:val="left"/>
        <w:rPr>
          <w:rFonts w:ascii="宋体" w:hAnsi="宋体"/>
          <w:bCs/>
          <w:szCs w:val="21"/>
        </w:rPr>
      </w:pPr>
      <w:r>
        <w:rPr>
          <w:rFonts w:hint="eastAsia" w:ascii="宋体" w:hAnsi="宋体"/>
          <w:bCs/>
          <w:szCs w:val="21"/>
        </w:rPr>
        <w:t>诊断编码性别错误-男性</w:t>
      </w:r>
    </w:p>
    <w:p w14:paraId="0BB1BB60">
      <w:pPr>
        <w:numPr>
          <w:ilvl w:val="0"/>
          <w:numId w:val="1"/>
        </w:numPr>
        <w:spacing w:line="360" w:lineRule="auto"/>
        <w:jc w:val="left"/>
        <w:rPr>
          <w:rFonts w:ascii="宋体" w:hAnsi="宋体"/>
          <w:bCs/>
          <w:szCs w:val="21"/>
        </w:rPr>
      </w:pPr>
      <w:r>
        <w:rPr>
          <w:rFonts w:hint="eastAsia" w:ascii="宋体" w:hAnsi="宋体"/>
          <w:bCs/>
          <w:szCs w:val="21"/>
        </w:rPr>
        <w:t>诊断编码性别错误-女性</w:t>
      </w:r>
    </w:p>
    <w:p w14:paraId="7F3B0226">
      <w:pPr>
        <w:numPr>
          <w:ilvl w:val="0"/>
          <w:numId w:val="1"/>
        </w:numPr>
        <w:spacing w:line="360" w:lineRule="auto"/>
        <w:jc w:val="left"/>
        <w:rPr>
          <w:rFonts w:ascii="宋体" w:hAnsi="宋体"/>
          <w:bCs/>
          <w:szCs w:val="21"/>
        </w:rPr>
      </w:pPr>
      <w:r>
        <w:rPr>
          <w:rFonts w:hint="eastAsia" w:ascii="宋体" w:hAnsi="宋体"/>
          <w:bCs/>
          <w:szCs w:val="21"/>
        </w:rPr>
        <w:t>手术编码性别错误-男性</w:t>
      </w:r>
    </w:p>
    <w:p w14:paraId="027E45FC">
      <w:pPr>
        <w:numPr>
          <w:ilvl w:val="0"/>
          <w:numId w:val="1"/>
        </w:numPr>
        <w:spacing w:line="360" w:lineRule="auto"/>
        <w:jc w:val="left"/>
        <w:rPr>
          <w:rFonts w:ascii="宋体" w:hAnsi="宋体"/>
          <w:bCs/>
          <w:szCs w:val="21"/>
        </w:rPr>
      </w:pPr>
      <w:r>
        <w:rPr>
          <w:rFonts w:hint="eastAsia" w:ascii="宋体" w:hAnsi="宋体"/>
          <w:bCs/>
          <w:szCs w:val="21"/>
        </w:rPr>
        <w:t>手术编码性别错误-女性</w:t>
      </w:r>
    </w:p>
    <w:p w14:paraId="5363A062">
      <w:pPr>
        <w:numPr>
          <w:ilvl w:val="0"/>
          <w:numId w:val="1"/>
        </w:numPr>
        <w:spacing w:line="360" w:lineRule="auto"/>
        <w:jc w:val="left"/>
        <w:rPr>
          <w:rFonts w:ascii="宋体" w:hAnsi="宋体"/>
          <w:bCs/>
          <w:szCs w:val="21"/>
        </w:rPr>
      </w:pPr>
      <w:r>
        <w:rPr>
          <w:rFonts w:hint="eastAsia" w:ascii="宋体" w:hAnsi="宋体"/>
          <w:bCs/>
          <w:szCs w:val="21"/>
        </w:rPr>
        <w:t>0-17岁儿童诊断编码错误</w:t>
      </w:r>
    </w:p>
    <w:p w14:paraId="774E9592">
      <w:pPr>
        <w:spacing w:line="360" w:lineRule="auto"/>
        <w:jc w:val="left"/>
        <w:rPr>
          <w:rFonts w:ascii="宋体" w:hAnsi="宋体"/>
          <w:b/>
          <w:szCs w:val="21"/>
        </w:rPr>
      </w:pPr>
      <w:r>
        <w:rPr>
          <w:rFonts w:hint="eastAsia" w:ascii="宋体" w:hAnsi="宋体"/>
          <w:b/>
          <w:szCs w:val="21"/>
        </w:rPr>
        <w:t>(2)分组器</w:t>
      </w:r>
    </w:p>
    <w:p w14:paraId="759E9F43">
      <w:pPr>
        <w:spacing w:line="360" w:lineRule="auto"/>
        <w:jc w:val="left"/>
        <w:rPr>
          <w:rFonts w:ascii="宋体" w:hAnsi="宋体"/>
          <w:b/>
          <w:szCs w:val="21"/>
        </w:rPr>
      </w:pPr>
      <w:r>
        <w:rPr>
          <w:rFonts w:hint="eastAsia" w:ascii="宋体" w:hAnsi="宋体"/>
          <w:b/>
          <w:szCs w:val="21"/>
        </w:rPr>
        <w:t>A.DRG分组器</w:t>
      </w:r>
      <w:r>
        <w:rPr>
          <w:rFonts w:hint="eastAsia"/>
        </w:rPr>
        <w:t>☆</w:t>
      </w:r>
    </w:p>
    <w:p w14:paraId="6D963FD7">
      <w:pPr>
        <w:spacing w:line="360" w:lineRule="auto"/>
        <w:ind w:firstLine="420" w:firstLineChars="200"/>
        <w:jc w:val="left"/>
        <w:rPr>
          <w:rFonts w:ascii="宋体" w:hAnsi="宋体"/>
          <w:bCs/>
          <w:szCs w:val="21"/>
        </w:rPr>
      </w:pPr>
      <w:r>
        <w:rPr>
          <w:rFonts w:hint="eastAsia" w:ascii="宋体" w:hAnsi="宋体"/>
          <w:bCs/>
          <w:szCs w:val="21"/>
        </w:rPr>
        <w:t>对医院的病案首页数据（卫统4表）进行DRG分组，具有自主知识产权的DRG分组器。</w:t>
      </w:r>
    </w:p>
    <w:p w14:paraId="4CBDAA38">
      <w:pPr>
        <w:spacing w:line="360" w:lineRule="auto"/>
        <w:ind w:firstLine="420" w:firstLineChars="200"/>
        <w:jc w:val="left"/>
        <w:rPr>
          <w:rFonts w:ascii="宋体" w:hAnsi="宋体"/>
          <w:bCs/>
          <w:szCs w:val="21"/>
        </w:rPr>
      </w:pPr>
      <w:r>
        <w:rPr>
          <w:rFonts w:hint="eastAsia" w:ascii="宋体" w:hAnsi="宋体"/>
          <w:bCs/>
          <w:szCs w:val="21"/>
        </w:rPr>
        <w:t>相对权重RW的设置，能够使用多维度表示一个DRG组的疑难程度、风险程度和消耗资源的多少。</w:t>
      </w:r>
    </w:p>
    <w:p w14:paraId="3E5CE8A3">
      <w:pPr>
        <w:spacing w:line="360" w:lineRule="auto"/>
        <w:ind w:firstLine="420" w:firstLineChars="200"/>
        <w:jc w:val="left"/>
        <w:rPr>
          <w:rFonts w:ascii="宋体" w:hAnsi="宋体"/>
          <w:bCs/>
          <w:szCs w:val="21"/>
        </w:rPr>
      </w:pPr>
      <w:r>
        <w:rPr>
          <w:rFonts w:hint="eastAsia" w:ascii="宋体" w:hAnsi="宋体"/>
          <w:bCs/>
          <w:szCs w:val="21"/>
        </w:rPr>
        <w:t>提供查询，下载每个病例的详细DRG入组明细</w:t>
      </w:r>
    </w:p>
    <w:p w14:paraId="78AADB92">
      <w:pPr>
        <w:spacing w:line="360" w:lineRule="auto"/>
        <w:jc w:val="left"/>
        <w:rPr>
          <w:rFonts w:ascii="宋体" w:hAnsi="宋体"/>
          <w:b/>
          <w:szCs w:val="21"/>
        </w:rPr>
      </w:pPr>
      <w:r>
        <w:rPr>
          <w:rFonts w:hint="eastAsia" w:ascii="宋体" w:hAnsi="宋体"/>
          <w:b/>
          <w:szCs w:val="21"/>
        </w:rPr>
        <w:t>B.重点监控病种/术种分组</w:t>
      </w:r>
      <w:r>
        <w:rPr>
          <w:rFonts w:hint="eastAsia"/>
        </w:rPr>
        <w:t>☆</w:t>
      </w:r>
    </w:p>
    <w:p w14:paraId="64022353">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设置重点病种和重点术种，评价专科能力的强弱。</w:t>
      </w:r>
    </w:p>
    <w:p w14:paraId="63C5FD7E">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病种的设置，能反应亚专科能力的强弱，基本覆盖所有的亚专科重点病种/术种。系统提供具有自主知识产权的重点监控病种/术种分组器，并能根据省（市）的具体情况，能够进行扩充和修改。</w:t>
      </w:r>
    </w:p>
    <w:p w14:paraId="74A1126B">
      <w:pPr>
        <w:spacing w:line="360" w:lineRule="auto"/>
        <w:jc w:val="left"/>
        <w:rPr>
          <w:rFonts w:ascii="宋体" w:hAnsi="宋体"/>
          <w:b/>
          <w:szCs w:val="21"/>
        </w:rPr>
      </w:pPr>
      <w:r>
        <w:rPr>
          <w:rFonts w:hint="eastAsia" w:ascii="宋体" w:hAnsi="宋体"/>
          <w:b/>
          <w:szCs w:val="21"/>
        </w:rPr>
        <w:t>C.手术分级</w:t>
      </w:r>
      <w:r>
        <w:rPr>
          <w:rFonts w:hint="eastAsia"/>
        </w:rPr>
        <w:t>☆</w:t>
      </w:r>
    </w:p>
    <w:p w14:paraId="2B2254F5">
      <w:pPr>
        <w:spacing w:line="360" w:lineRule="auto"/>
        <w:jc w:val="left"/>
        <w:rPr>
          <w:rFonts w:ascii="宋体" w:hAnsi="宋体"/>
          <w:bCs/>
          <w:szCs w:val="21"/>
        </w:rPr>
      </w:pPr>
      <w:r>
        <w:rPr>
          <w:rFonts w:hint="eastAsia" w:ascii="宋体" w:hAnsi="宋体"/>
          <w:bCs/>
          <w:szCs w:val="21"/>
        </w:rPr>
        <w:tab/>
      </w:r>
      <w:r>
        <w:rPr>
          <w:rFonts w:hint="eastAsia" w:ascii="宋体" w:hAnsi="宋体"/>
          <w:bCs/>
          <w:szCs w:val="21"/>
        </w:rPr>
        <w:t>评价各医疗机构、临床科室、医生的外科能力，应具有独立的手术分级系统，能实际反应临床实际，包含以下的分级标准：</w:t>
      </w:r>
    </w:p>
    <w:p w14:paraId="0E434985">
      <w:pPr>
        <w:numPr>
          <w:ilvl w:val="0"/>
          <w:numId w:val="2"/>
        </w:numPr>
        <w:spacing w:line="360" w:lineRule="auto"/>
        <w:jc w:val="left"/>
        <w:rPr>
          <w:rFonts w:ascii="宋体" w:hAnsi="宋体"/>
          <w:bCs/>
          <w:szCs w:val="21"/>
        </w:rPr>
      </w:pPr>
      <w:r>
        <w:rPr>
          <w:rFonts w:hint="eastAsia" w:ascii="宋体" w:hAnsi="宋体"/>
          <w:bCs/>
          <w:szCs w:val="21"/>
        </w:rPr>
        <w:t>复杂程度：手术时间、手术医生、医生职称等</w:t>
      </w:r>
    </w:p>
    <w:p w14:paraId="4C37EED0">
      <w:pPr>
        <w:numPr>
          <w:ilvl w:val="0"/>
          <w:numId w:val="2"/>
        </w:numPr>
        <w:spacing w:line="360" w:lineRule="auto"/>
        <w:jc w:val="left"/>
        <w:rPr>
          <w:rFonts w:ascii="宋体" w:hAnsi="宋体"/>
          <w:bCs/>
          <w:szCs w:val="21"/>
        </w:rPr>
      </w:pPr>
      <w:r>
        <w:rPr>
          <w:rFonts w:hint="eastAsia" w:ascii="宋体" w:hAnsi="宋体"/>
          <w:bCs/>
          <w:szCs w:val="21"/>
        </w:rPr>
        <w:t>风险程度：术中出血、术后并发症、术后ICU等</w:t>
      </w:r>
    </w:p>
    <w:p w14:paraId="21A07F1F">
      <w:pPr>
        <w:spacing w:line="360" w:lineRule="auto"/>
        <w:jc w:val="left"/>
        <w:rPr>
          <w:rFonts w:ascii="宋体" w:hAnsi="宋体"/>
          <w:bCs/>
          <w:szCs w:val="21"/>
        </w:rPr>
      </w:pPr>
      <w:r>
        <w:rPr>
          <w:rFonts w:hint="eastAsia" w:ascii="宋体" w:hAnsi="宋体"/>
          <w:bCs/>
          <w:szCs w:val="21"/>
        </w:rPr>
        <w:t>提供查询，下载每个病例的手术分级</w:t>
      </w:r>
    </w:p>
    <w:p w14:paraId="03724FE4">
      <w:pPr>
        <w:spacing w:line="360" w:lineRule="auto"/>
        <w:jc w:val="left"/>
        <w:rPr>
          <w:rFonts w:ascii="宋体" w:hAnsi="宋体"/>
          <w:b/>
          <w:szCs w:val="21"/>
        </w:rPr>
      </w:pPr>
    </w:p>
    <w:p w14:paraId="4EAD38AC">
      <w:pPr>
        <w:spacing w:line="360" w:lineRule="auto"/>
        <w:jc w:val="left"/>
        <w:rPr>
          <w:rFonts w:ascii="宋体" w:hAnsi="宋体"/>
          <w:b/>
          <w:szCs w:val="21"/>
        </w:rPr>
      </w:pPr>
      <w:r>
        <w:rPr>
          <w:rFonts w:hint="eastAsia" w:ascii="宋体" w:hAnsi="宋体"/>
          <w:b/>
          <w:szCs w:val="21"/>
        </w:rPr>
        <w:t>(3)基于DRG医疗服务评价分析</w:t>
      </w:r>
      <w:r>
        <w:rPr>
          <w:rFonts w:hint="eastAsia"/>
        </w:rPr>
        <w:t>☆</w:t>
      </w:r>
    </w:p>
    <w:p w14:paraId="4608754B">
      <w:pPr>
        <w:spacing w:line="360" w:lineRule="auto"/>
        <w:jc w:val="left"/>
        <w:rPr>
          <w:rFonts w:ascii="宋体" w:hAnsi="宋体"/>
          <w:b/>
          <w:szCs w:val="21"/>
        </w:rPr>
      </w:pPr>
      <w:r>
        <w:rPr>
          <w:rFonts w:hint="eastAsia" w:ascii="宋体" w:hAnsi="宋体"/>
          <w:b/>
          <w:szCs w:val="21"/>
        </w:rPr>
        <w:t>A.CMI分析</w:t>
      </w:r>
    </w:p>
    <w:p w14:paraId="73FF0F0B">
      <w:pPr>
        <w:spacing w:line="360" w:lineRule="auto"/>
        <w:ind w:firstLine="420" w:firstLineChars="200"/>
        <w:jc w:val="left"/>
        <w:rPr>
          <w:rFonts w:ascii="宋体" w:hAnsi="宋体"/>
          <w:bCs/>
          <w:szCs w:val="21"/>
        </w:rPr>
      </w:pPr>
      <w:r>
        <w:rPr>
          <w:rFonts w:hint="eastAsia" w:ascii="宋体" w:hAnsi="宋体"/>
          <w:bCs/>
          <w:szCs w:val="21"/>
        </w:rPr>
        <w:t>反应医疗机构的综合能力，按照医院、科室、医生进行排名，包含以下指标：</w:t>
      </w:r>
    </w:p>
    <w:p w14:paraId="74A90A21">
      <w:pPr>
        <w:spacing w:line="360" w:lineRule="auto"/>
        <w:jc w:val="left"/>
        <w:rPr>
          <w:rFonts w:ascii="宋体" w:hAnsi="宋体"/>
          <w:bCs/>
          <w:szCs w:val="21"/>
        </w:rPr>
      </w:pPr>
      <w:r>
        <w:rPr>
          <w:rFonts w:hint="eastAsia" w:ascii="宋体" w:hAnsi="宋体"/>
          <w:bCs/>
          <w:szCs w:val="21"/>
        </w:rPr>
        <w:t>出院人数、DRG组数、DRG总量、CMI值、平均住院天数、平均总费用、平均药费、平均耗材费、低风险死亡率、费用指数、时间指数</w:t>
      </w:r>
    </w:p>
    <w:p w14:paraId="0C87F5F9">
      <w:pPr>
        <w:spacing w:line="360" w:lineRule="auto"/>
        <w:jc w:val="left"/>
        <w:rPr>
          <w:rFonts w:ascii="宋体" w:hAnsi="宋体"/>
          <w:b/>
          <w:szCs w:val="21"/>
        </w:rPr>
      </w:pPr>
    </w:p>
    <w:p w14:paraId="12DF092B">
      <w:pPr>
        <w:spacing w:line="360" w:lineRule="auto"/>
        <w:jc w:val="left"/>
        <w:rPr>
          <w:rFonts w:ascii="宋体" w:hAnsi="宋体"/>
          <w:b/>
          <w:szCs w:val="21"/>
        </w:rPr>
      </w:pPr>
      <w:r>
        <w:rPr>
          <w:rFonts w:hint="eastAsia" w:ascii="宋体" w:hAnsi="宋体"/>
          <w:b/>
          <w:szCs w:val="21"/>
        </w:rPr>
        <w:t>B.疑难病例分析</w:t>
      </w:r>
      <w:r>
        <w:rPr>
          <w:rFonts w:hint="eastAsia"/>
        </w:rPr>
        <w:t>☆</w:t>
      </w:r>
    </w:p>
    <w:p w14:paraId="420B0FAF">
      <w:pPr>
        <w:spacing w:line="360" w:lineRule="auto"/>
        <w:ind w:firstLine="420" w:firstLineChars="200"/>
        <w:jc w:val="left"/>
        <w:rPr>
          <w:rFonts w:ascii="宋体" w:hAnsi="宋体"/>
          <w:bCs/>
          <w:szCs w:val="21"/>
        </w:rPr>
      </w:pPr>
      <w:r>
        <w:rPr>
          <w:rFonts w:hint="eastAsia" w:ascii="宋体" w:hAnsi="宋体"/>
          <w:bCs/>
          <w:szCs w:val="21"/>
        </w:rPr>
        <w:t>一个DRG组代表了诊疗方式、严重程度、消耗的医疗资源相近的一类病例，每个DRG组赋予一个相对权重RW（Relative Weight）, 反应疾病的严重程度、诊疗难度和消耗的医疗资源。</w:t>
      </w:r>
    </w:p>
    <w:p w14:paraId="2CE524DF">
      <w:pPr>
        <w:spacing w:line="360" w:lineRule="auto"/>
        <w:ind w:firstLine="420" w:firstLineChars="200"/>
        <w:jc w:val="left"/>
        <w:rPr>
          <w:rFonts w:ascii="宋体" w:hAnsi="宋体"/>
          <w:bCs/>
          <w:szCs w:val="21"/>
        </w:rPr>
      </w:pPr>
      <w:r>
        <w:rPr>
          <w:rFonts w:hint="eastAsia" w:ascii="宋体" w:hAnsi="宋体"/>
          <w:bCs/>
          <w:szCs w:val="21"/>
        </w:rPr>
        <w:t>分析权重值较大的病例所占总分析病例的比例，代表了医院疑难病例的治疗能力。以RW=2作为疑难病例的权重值的基准，分析各个RW值段的病例比例。</w:t>
      </w:r>
    </w:p>
    <w:p w14:paraId="1B3F618A">
      <w:pPr>
        <w:spacing w:line="360" w:lineRule="auto"/>
        <w:ind w:firstLine="420" w:firstLineChars="200"/>
        <w:jc w:val="left"/>
        <w:rPr>
          <w:rFonts w:ascii="宋体" w:hAnsi="宋体"/>
          <w:bCs/>
          <w:szCs w:val="21"/>
        </w:rPr>
      </w:pPr>
      <w:r>
        <w:rPr>
          <w:rFonts w:hint="eastAsia" w:ascii="宋体" w:hAnsi="宋体"/>
          <w:bCs/>
          <w:szCs w:val="21"/>
        </w:rPr>
        <w:t>按医院、科室、医生进行排名，包含以下指标：</w:t>
      </w:r>
    </w:p>
    <w:p w14:paraId="7A146616">
      <w:pPr>
        <w:spacing w:line="360" w:lineRule="auto"/>
        <w:ind w:firstLine="420" w:firstLineChars="200"/>
        <w:jc w:val="left"/>
        <w:rPr>
          <w:rFonts w:ascii="宋体" w:hAnsi="宋体"/>
          <w:bCs/>
          <w:szCs w:val="21"/>
        </w:rPr>
      </w:pPr>
      <w:r>
        <w:rPr>
          <w:rFonts w:hint="eastAsia" w:ascii="宋体" w:hAnsi="宋体"/>
          <w:bCs/>
          <w:szCs w:val="21"/>
        </w:rPr>
        <w:t>出院人数、RW&gt;2人次及比例、2-5人次及比例、5-10人次及比例、RW&gt;10人次及比例</w:t>
      </w:r>
    </w:p>
    <w:p w14:paraId="10196552">
      <w:pPr>
        <w:spacing w:line="360" w:lineRule="auto"/>
        <w:jc w:val="left"/>
        <w:rPr>
          <w:rFonts w:ascii="宋体" w:hAnsi="宋体"/>
          <w:b/>
          <w:szCs w:val="21"/>
        </w:rPr>
      </w:pPr>
    </w:p>
    <w:p w14:paraId="4D5FB473">
      <w:pPr>
        <w:spacing w:line="360" w:lineRule="auto"/>
        <w:jc w:val="left"/>
        <w:rPr>
          <w:rFonts w:ascii="宋体" w:hAnsi="宋体"/>
          <w:b/>
          <w:szCs w:val="21"/>
        </w:rPr>
      </w:pPr>
      <w:r>
        <w:rPr>
          <w:rFonts w:hint="eastAsia" w:ascii="宋体" w:hAnsi="宋体"/>
          <w:b/>
          <w:szCs w:val="21"/>
        </w:rPr>
        <w:t>C.外科能力分析</w:t>
      </w:r>
    </w:p>
    <w:p w14:paraId="3B0735C6">
      <w:pPr>
        <w:spacing w:line="360" w:lineRule="auto"/>
        <w:ind w:firstLine="420" w:firstLineChars="200"/>
        <w:jc w:val="left"/>
        <w:rPr>
          <w:rFonts w:ascii="宋体" w:hAnsi="宋体"/>
          <w:bCs/>
          <w:szCs w:val="21"/>
        </w:rPr>
      </w:pPr>
      <w:r>
        <w:rPr>
          <w:rFonts w:hint="eastAsia" w:ascii="宋体" w:hAnsi="宋体"/>
          <w:bCs/>
          <w:szCs w:val="21"/>
        </w:rPr>
        <w:t>对手术进行科学的分级，分析医院的三四级手术比例，代表外科能力的强弱。</w:t>
      </w:r>
    </w:p>
    <w:p w14:paraId="46A31138">
      <w:pPr>
        <w:spacing w:line="360" w:lineRule="auto"/>
        <w:ind w:firstLine="420" w:firstLineChars="200"/>
        <w:jc w:val="left"/>
        <w:rPr>
          <w:rFonts w:ascii="宋体" w:hAnsi="宋体"/>
          <w:bCs/>
          <w:szCs w:val="21"/>
        </w:rPr>
      </w:pPr>
      <w:r>
        <w:rPr>
          <w:rFonts w:hint="eastAsia" w:ascii="宋体" w:hAnsi="宋体"/>
          <w:bCs/>
          <w:szCs w:val="21"/>
        </w:rPr>
        <w:t>按医院、科室、医生进行排名，包含以下指标：</w:t>
      </w:r>
    </w:p>
    <w:p w14:paraId="39DF8FA5">
      <w:pPr>
        <w:spacing w:line="360" w:lineRule="auto"/>
        <w:ind w:firstLine="420" w:firstLineChars="200"/>
        <w:jc w:val="left"/>
        <w:rPr>
          <w:rFonts w:ascii="宋体" w:hAnsi="宋体"/>
          <w:bCs/>
          <w:szCs w:val="21"/>
        </w:rPr>
      </w:pPr>
      <w:r>
        <w:rPr>
          <w:rFonts w:hint="eastAsia" w:ascii="宋体" w:hAnsi="宋体"/>
          <w:bCs/>
          <w:szCs w:val="21"/>
        </w:rPr>
        <w:t>出院人数、手术人次、三级手术、四级手术、三四级手术合计及占比</w:t>
      </w:r>
    </w:p>
    <w:p w14:paraId="3651A3AF">
      <w:pPr>
        <w:spacing w:line="360" w:lineRule="auto"/>
        <w:jc w:val="left"/>
        <w:rPr>
          <w:rFonts w:ascii="宋体" w:hAnsi="宋体"/>
          <w:b/>
          <w:szCs w:val="21"/>
        </w:rPr>
      </w:pPr>
    </w:p>
    <w:p w14:paraId="5D482727">
      <w:pPr>
        <w:spacing w:line="360" w:lineRule="auto"/>
        <w:jc w:val="left"/>
        <w:rPr>
          <w:rFonts w:ascii="宋体" w:hAnsi="宋体"/>
          <w:b/>
          <w:szCs w:val="21"/>
        </w:rPr>
      </w:pPr>
      <w:r>
        <w:rPr>
          <w:rFonts w:hint="eastAsia" w:ascii="宋体" w:hAnsi="宋体"/>
          <w:b/>
          <w:szCs w:val="21"/>
        </w:rPr>
        <w:t>D.重点监控病种/术种分析</w:t>
      </w:r>
      <w:r>
        <w:rPr>
          <w:rFonts w:hint="eastAsia"/>
        </w:rPr>
        <w:t>☆</w:t>
      </w:r>
    </w:p>
    <w:p w14:paraId="7C84A7DE">
      <w:pPr>
        <w:spacing w:line="360" w:lineRule="auto"/>
        <w:ind w:firstLine="420" w:firstLineChars="200"/>
        <w:jc w:val="left"/>
        <w:rPr>
          <w:rFonts w:ascii="宋体" w:hAnsi="宋体"/>
          <w:bCs/>
          <w:szCs w:val="21"/>
        </w:rPr>
      </w:pPr>
      <w:r>
        <w:rPr>
          <w:rFonts w:hint="eastAsia" w:ascii="宋体" w:hAnsi="宋体"/>
          <w:bCs/>
          <w:szCs w:val="21"/>
        </w:rPr>
        <w:t>重点监控病种/术种设立和DRG病种不同，重点监控病种/术种考虑的是专科排行，所以是分科室的。与传统概念中的单病种(单一疾病入院，无并发症和合并症)也不同。单病种考核的是专科能力，从各个专科中筛选反应该专科能力的病种，设置为重点监控病种/术种；重点监控病种/术种分组涉及到所有的诊断和所有的手术编码，一份病案仅仅归类于唯一一个重点监控病种/术种，如一个病例满足多个重点监控病种/术种的入组规则，则根据各个重点监控病种/术种的优先次序，入组到优先级高的一个重点监控病种/术种组。</w:t>
      </w:r>
    </w:p>
    <w:p w14:paraId="0DC55364">
      <w:pPr>
        <w:spacing w:line="360" w:lineRule="auto"/>
        <w:ind w:firstLine="420" w:firstLineChars="200"/>
        <w:jc w:val="left"/>
        <w:rPr>
          <w:rFonts w:ascii="宋体" w:hAnsi="宋体"/>
          <w:bCs/>
          <w:szCs w:val="21"/>
        </w:rPr>
      </w:pPr>
      <w:r>
        <w:rPr>
          <w:rFonts w:hint="eastAsia" w:ascii="宋体" w:hAnsi="宋体"/>
          <w:bCs/>
          <w:szCs w:val="21"/>
        </w:rPr>
        <w:t>重点监控病种的考核指标包含：</w:t>
      </w:r>
    </w:p>
    <w:p w14:paraId="776342B4">
      <w:pPr>
        <w:spacing w:line="360" w:lineRule="auto"/>
        <w:ind w:firstLine="420" w:firstLineChars="200"/>
        <w:jc w:val="left"/>
        <w:rPr>
          <w:rFonts w:ascii="宋体" w:hAnsi="宋体"/>
          <w:bCs/>
          <w:szCs w:val="21"/>
        </w:rPr>
      </w:pPr>
      <w:r>
        <w:rPr>
          <w:rFonts w:hint="eastAsia" w:ascii="宋体" w:hAnsi="宋体"/>
          <w:bCs/>
          <w:szCs w:val="21"/>
        </w:rPr>
        <w:t>出院人数、均次费用、均次药费、药占比、平均住院日。</w:t>
      </w:r>
    </w:p>
    <w:p w14:paraId="69B110DC">
      <w:pPr>
        <w:spacing w:line="360" w:lineRule="auto"/>
        <w:ind w:firstLine="420" w:firstLineChars="200"/>
        <w:jc w:val="left"/>
        <w:rPr>
          <w:rFonts w:ascii="宋体" w:hAnsi="宋体"/>
          <w:bCs/>
          <w:szCs w:val="21"/>
        </w:rPr>
      </w:pPr>
      <w:r>
        <w:rPr>
          <w:rFonts w:hint="eastAsia" w:ascii="宋体" w:hAnsi="宋体"/>
          <w:bCs/>
          <w:szCs w:val="21"/>
        </w:rPr>
        <w:t>手术病种增加：术前等待时间、均次卫材费、卫材占比。</w:t>
      </w:r>
    </w:p>
    <w:p w14:paraId="389A9954">
      <w:pPr>
        <w:spacing w:line="360" w:lineRule="auto"/>
        <w:jc w:val="left"/>
        <w:rPr>
          <w:rFonts w:ascii="宋体" w:hAnsi="宋体"/>
          <w:b/>
          <w:szCs w:val="21"/>
        </w:rPr>
      </w:pPr>
    </w:p>
    <w:p w14:paraId="637C4142">
      <w:pPr>
        <w:spacing w:line="360" w:lineRule="auto"/>
        <w:jc w:val="left"/>
        <w:rPr>
          <w:rFonts w:ascii="宋体" w:hAnsi="宋体"/>
          <w:b/>
          <w:szCs w:val="21"/>
        </w:rPr>
      </w:pPr>
      <w:r>
        <w:rPr>
          <w:rFonts w:ascii="宋体" w:hAnsi="宋体"/>
          <w:b/>
          <w:szCs w:val="21"/>
        </w:rPr>
        <w:t>E</w:t>
      </w:r>
      <w:r>
        <w:rPr>
          <w:rFonts w:hint="eastAsia" w:ascii="宋体" w:hAnsi="宋体"/>
          <w:b/>
          <w:szCs w:val="21"/>
        </w:rPr>
        <w:t>.医疗质量分析</w:t>
      </w:r>
      <w:r>
        <w:rPr>
          <w:rFonts w:hint="eastAsia"/>
        </w:rPr>
        <w:t>☆</w:t>
      </w:r>
    </w:p>
    <w:p w14:paraId="27373F90">
      <w:pPr>
        <w:spacing w:line="360" w:lineRule="auto"/>
        <w:ind w:firstLine="420" w:firstLineChars="200"/>
        <w:jc w:val="left"/>
        <w:rPr>
          <w:rFonts w:ascii="宋体" w:hAnsi="宋体"/>
          <w:bCs/>
          <w:szCs w:val="21"/>
        </w:rPr>
      </w:pPr>
      <w:r>
        <w:rPr>
          <w:rFonts w:hint="eastAsia" w:ascii="宋体" w:hAnsi="宋体"/>
          <w:bCs/>
          <w:szCs w:val="21"/>
        </w:rPr>
        <w:t>每个DRG组设置了低风险死亡的评级，分为0-4级，0为低风险；1为中低风险；2为中高风险；3为高风险；4为极高风险。</w:t>
      </w:r>
    </w:p>
    <w:p w14:paraId="2BD9986C">
      <w:pPr>
        <w:spacing w:line="360" w:lineRule="auto"/>
        <w:ind w:firstLine="420" w:firstLineChars="200"/>
        <w:jc w:val="left"/>
        <w:rPr>
          <w:rFonts w:ascii="宋体" w:hAnsi="宋体"/>
          <w:bCs/>
          <w:szCs w:val="21"/>
        </w:rPr>
      </w:pPr>
      <w:r>
        <w:rPr>
          <w:rFonts w:hint="eastAsia" w:ascii="宋体" w:hAnsi="宋体"/>
          <w:bCs/>
          <w:szCs w:val="21"/>
        </w:rPr>
        <w:t>低风险组和中低风险组的死亡率，用于度量医院住院服务的安全和质量。其基本原理是：病例并不危重，一旦发生死亡，意味着死亡原因很可能不在疾病的本身而在临床过程；因此，低风险及中低风险DRG病例的死亡率，提示临床或管理过程可能存在问题。</w:t>
      </w:r>
    </w:p>
    <w:p w14:paraId="71FDA29D">
      <w:pPr>
        <w:spacing w:line="360" w:lineRule="auto"/>
        <w:ind w:firstLine="420" w:firstLineChars="200"/>
        <w:jc w:val="left"/>
        <w:rPr>
          <w:rFonts w:ascii="宋体" w:hAnsi="宋体"/>
          <w:bCs/>
          <w:szCs w:val="21"/>
        </w:rPr>
      </w:pPr>
      <w:r>
        <w:rPr>
          <w:rFonts w:hint="eastAsia" w:ascii="宋体" w:hAnsi="宋体"/>
          <w:bCs/>
          <w:szCs w:val="21"/>
        </w:rPr>
        <w:t>按医院、科室、医生查询低风险死亡例数，低风险死亡率。</w:t>
      </w:r>
    </w:p>
    <w:p w14:paraId="33A6FEB2">
      <w:pPr>
        <w:spacing w:line="360" w:lineRule="auto"/>
        <w:jc w:val="left"/>
        <w:rPr>
          <w:rFonts w:ascii="宋体" w:hAnsi="宋体"/>
          <w:b/>
          <w:szCs w:val="21"/>
        </w:rPr>
      </w:pPr>
      <w:r>
        <w:rPr>
          <w:rFonts w:hint="eastAsia" w:ascii="宋体" w:hAnsi="宋体"/>
          <w:b/>
          <w:szCs w:val="21"/>
        </w:rPr>
        <w:t>4.项目功能列表</w:t>
      </w:r>
    </w:p>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6925"/>
      </w:tblGrid>
      <w:tr w14:paraId="7D2E0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501BAFEB">
            <w:pPr>
              <w:spacing w:line="360" w:lineRule="auto"/>
              <w:jc w:val="center"/>
              <w:rPr>
                <w:rFonts w:ascii="宋体" w:hAnsi="宋体"/>
                <w:b/>
                <w:szCs w:val="21"/>
              </w:rPr>
            </w:pPr>
            <w:r>
              <w:rPr>
                <w:rFonts w:hint="eastAsia" w:ascii="宋体" w:hAnsi="宋体"/>
                <w:b/>
                <w:szCs w:val="21"/>
              </w:rPr>
              <w:t>模块</w:t>
            </w:r>
          </w:p>
        </w:tc>
        <w:tc>
          <w:tcPr>
            <w:tcW w:w="4063" w:type="pct"/>
            <w:vAlign w:val="center"/>
          </w:tcPr>
          <w:p w14:paraId="2350F9B0">
            <w:pPr>
              <w:spacing w:line="360" w:lineRule="auto"/>
              <w:jc w:val="center"/>
              <w:rPr>
                <w:rFonts w:ascii="宋体" w:hAnsi="宋体"/>
                <w:b/>
                <w:szCs w:val="21"/>
              </w:rPr>
            </w:pPr>
            <w:r>
              <w:rPr>
                <w:rFonts w:hint="eastAsia" w:ascii="宋体" w:hAnsi="宋体"/>
                <w:b/>
                <w:szCs w:val="21"/>
              </w:rPr>
              <w:t>功能</w:t>
            </w:r>
          </w:p>
        </w:tc>
      </w:tr>
      <w:tr w14:paraId="11921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2EC0F327">
            <w:pPr>
              <w:spacing w:line="360" w:lineRule="auto"/>
              <w:rPr>
                <w:rFonts w:ascii="宋体" w:hAnsi="宋体"/>
                <w:bCs/>
                <w:szCs w:val="21"/>
              </w:rPr>
            </w:pPr>
            <w:r>
              <w:rPr>
                <w:rFonts w:hint="eastAsia" w:ascii="宋体" w:hAnsi="宋体"/>
                <w:bCs/>
                <w:szCs w:val="21"/>
              </w:rPr>
              <w:t>数据采集</w:t>
            </w:r>
          </w:p>
        </w:tc>
        <w:tc>
          <w:tcPr>
            <w:tcW w:w="4063" w:type="pct"/>
            <w:vAlign w:val="center"/>
          </w:tcPr>
          <w:p w14:paraId="16425BE2">
            <w:pPr>
              <w:spacing w:line="360" w:lineRule="auto"/>
              <w:rPr>
                <w:rFonts w:ascii="宋体" w:hAnsi="宋体"/>
                <w:bCs/>
                <w:szCs w:val="21"/>
              </w:rPr>
            </w:pPr>
            <w:r>
              <w:rPr>
                <w:rFonts w:hint="eastAsia" w:ascii="宋体" w:hAnsi="宋体"/>
                <w:bCs/>
                <w:szCs w:val="21"/>
              </w:rPr>
              <w:t>采用国家卫生健康统计直报系统接口规范，支持西医与中医的卫统数据格式。支持DBF及Excel文件格式，支持数据覆盖和添加</w:t>
            </w:r>
          </w:p>
        </w:tc>
      </w:tr>
      <w:tr w14:paraId="7E6AC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12DFD063">
            <w:pPr>
              <w:spacing w:line="360" w:lineRule="auto"/>
              <w:rPr>
                <w:rFonts w:ascii="宋体" w:hAnsi="宋体"/>
                <w:bCs/>
                <w:szCs w:val="21"/>
              </w:rPr>
            </w:pPr>
            <w:r>
              <w:rPr>
                <w:rFonts w:hint="eastAsia" w:ascii="宋体" w:hAnsi="宋体"/>
                <w:bCs/>
                <w:szCs w:val="21"/>
              </w:rPr>
              <w:t>数据审核</w:t>
            </w:r>
          </w:p>
        </w:tc>
        <w:tc>
          <w:tcPr>
            <w:tcW w:w="4063" w:type="pct"/>
            <w:vAlign w:val="center"/>
          </w:tcPr>
          <w:p w14:paraId="7AF06C50">
            <w:pPr>
              <w:spacing w:line="360" w:lineRule="auto"/>
              <w:rPr>
                <w:rFonts w:ascii="宋体" w:hAnsi="宋体"/>
                <w:bCs/>
                <w:szCs w:val="21"/>
              </w:rPr>
            </w:pPr>
            <w:r>
              <w:rPr>
                <w:rFonts w:hint="eastAsia" w:ascii="宋体" w:hAnsi="宋体"/>
                <w:bCs/>
                <w:szCs w:val="21"/>
              </w:rPr>
              <w:t>完整性、合理性、准确性审核，包含：无效主诊、非标准编码、新生儿诊断错误、性别与诊断不匹配等DRG审核内容</w:t>
            </w:r>
          </w:p>
        </w:tc>
      </w:tr>
      <w:tr w14:paraId="34049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37" w:type="pct"/>
            <w:vAlign w:val="center"/>
          </w:tcPr>
          <w:p w14:paraId="384EDB23">
            <w:pPr>
              <w:spacing w:line="360" w:lineRule="auto"/>
              <w:rPr>
                <w:rFonts w:ascii="宋体" w:hAnsi="宋体"/>
                <w:bCs/>
                <w:szCs w:val="21"/>
              </w:rPr>
            </w:pPr>
            <w:r>
              <w:rPr>
                <w:rFonts w:hint="eastAsia" w:ascii="宋体" w:hAnsi="宋体"/>
                <w:bCs/>
                <w:szCs w:val="21"/>
              </w:rPr>
              <w:t>DRG分组</w:t>
            </w:r>
          </w:p>
        </w:tc>
        <w:tc>
          <w:tcPr>
            <w:tcW w:w="4063" w:type="pct"/>
            <w:vAlign w:val="center"/>
          </w:tcPr>
          <w:p w14:paraId="46454AA0">
            <w:pPr>
              <w:spacing w:line="360" w:lineRule="auto"/>
              <w:rPr>
                <w:rFonts w:ascii="宋体" w:hAnsi="宋体"/>
                <w:bCs/>
                <w:szCs w:val="21"/>
              </w:rPr>
            </w:pPr>
            <w:r>
              <w:rPr>
                <w:rFonts w:hint="eastAsia" w:ascii="宋体" w:hAnsi="宋体"/>
                <w:bCs/>
                <w:szCs w:val="21"/>
              </w:rPr>
              <w:t>按月对上月出院数据计算DRG分组，生成DRG分组明细</w:t>
            </w:r>
          </w:p>
        </w:tc>
      </w:tr>
      <w:tr w14:paraId="4020F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457DFCF9">
            <w:pPr>
              <w:spacing w:line="360" w:lineRule="auto"/>
              <w:rPr>
                <w:rFonts w:ascii="宋体" w:hAnsi="宋体"/>
                <w:bCs/>
                <w:szCs w:val="21"/>
              </w:rPr>
            </w:pPr>
            <w:r>
              <w:rPr>
                <w:rFonts w:hint="eastAsia" w:ascii="宋体" w:hAnsi="宋体"/>
                <w:bCs/>
                <w:szCs w:val="21"/>
              </w:rPr>
              <w:t>重点病种分组</w:t>
            </w:r>
          </w:p>
        </w:tc>
        <w:tc>
          <w:tcPr>
            <w:tcW w:w="4063" w:type="pct"/>
            <w:vAlign w:val="center"/>
          </w:tcPr>
          <w:p w14:paraId="1194E6E2">
            <w:pPr>
              <w:spacing w:line="360" w:lineRule="auto"/>
              <w:rPr>
                <w:rFonts w:ascii="宋体" w:hAnsi="宋体"/>
                <w:bCs/>
                <w:szCs w:val="21"/>
              </w:rPr>
            </w:pPr>
            <w:r>
              <w:rPr>
                <w:rFonts w:hint="eastAsia" w:ascii="宋体" w:hAnsi="宋体"/>
                <w:bCs/>
                <w:szCs w:val="21"/>
              </w:rPr>
              <w:t>按月对上月出院数据计算重点病种/术种分组，生成重点病种分组明细</w:t>
            </w:r>
          </w:p>
        </w:tc>
      </w:tr>
      <w:tr w14:paraId="0CF7A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7166D924">
            <w:pPr>
              <w:spacing w:line="360" w:lineRule="auto"/>
              <w:rPr>
                <w:rFonts w:ascii="宋体" w:hAnsi="宋体"/>
                <w:bCs/>
                <w:szCs w:val="21"/>
              </w:rPr>
            </w:pPr>
            <w:r>
              <w:rPr>
                <w:rFonts w:hint="eastAsia" w:ascii="宋体" w:hAnsi="宋体"/>
                <w:bCs/>
                <w:szCs w:val="21"/>
              </w:rPr>
              <w:t>手术分级</w:t>
            </w:r>
          </w:p>
        </w:tc>
        <w:tc>
          <w:tcPr>
            <w:tcW w:w="4063" w:type="pct"/>
            <w:vAlign w:val="center"/>
          </w:tcPr>
          <w:p w14:paraId="10582BA5">
            <w:pPr>
              <w:spacing w:line="360" w:lineRule="auto"/>
              <w:rPr>
                <w:rFonts w:ascii="宋体" w:hAnsi="宋体"/>
                <w:bCs/>
                <w:szCs w:val="21"/>
              </w:rPr>
            </w:pPr>
            <w:r>
              <w:rPr>
                <w:rFonts w:hint="eastAsia" w:ascii="宋体" w:hAnsi="宋体"/>
                <w:bCs/>
                <w:szCs w:val="21"/>
              </w:rPr>
              <w:t xml:space="preserve">采用符合临床实际，经过一定时期大数据量验证、修正过的手术分级库，对手术进行1-4级分级，计算三四级手术台次、比例 </w:t>
            </w:r>
          </w:p>
        </w:tc>
      </w:tr>
      <w:tr w14:paraId="67AA2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4CAB4D18">
            <w:pPr>
              <w:spacing w:line="360" w:lineRule="auto"/>
              <w:rPr>
                <w:rFonts w:ascii="宋体" w:hAnsi="宋体"/>
                <w:bCs/>
                <w:szCs w:val="21"/>
              </w:rPr>
            </w:pPr>
            <w:r>
              <w:rPr>
                <w:rFonts w:hint="eastAsia" w:ascii="宋体" w:hAnsi="宋体"/>
                <w:bCs/>
                <w:szCs w:val="21"/>
              </w:rPr>
              <w:t>明细查询</w:t>
            </w:r>
          </w:p>
        </w:tc>
        <w:tc>
          <w:tcPr>
            <w:tcW w:w="4063" w:type="pct"/>
            <w:vAlign w:val="center"/>
          </w:tcPr>
          <w:p w14:paraId="646256FF">
            <w:pPr>
              <w:spacing w:line="360" w:lineRule="auto"/>
              <w:rPr>
                <w:rFonts w:ascii="宋体" w:hAnsi="宋体"/>
                <w:bCs/>
                <w:szCs w:val="21"/>
              </w:rPr>
            </w:pPr>
            <w:r>
              <w:rPr>
                <w:rFonts w:hint="eastAsia" w:ascii="宋体" w:hAnsi="宋体"/>
                <w:bCs/>
                <w:szCs w:val="21"/>
              </w:rPr>
              <w:t>查询每个病例的DRG分组、重点病种分组以及手术级别的明细数据</w:t>
            </w:r>
          </w:p>
        </w:tc>
      </w:tr>
      <w:tr w14:paraId="23A59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14:paraId="2602C585">
            <w:pPr>
              <w:spacing w:line="360" w:lineRule="auto"/>
              <w:rPr>
                <w:rFonts w:ascii="宋体" w:hAnsi="宋体"/>
                <w:bCs/>
                <w:szCs w:val="21"/>
              </w:rPr>
            </w:pPr>
            <w:r>
              <w:rPr>
                <w:rFonts w:hint="eastAsia" w:ascii="宋体" w:hAnsi="宋体"/>
                <w:bCs/>
                <w:szCs w:val="21"/>
              </w:rPr>
              <w:t>综合分析</w:t>
            </w:r>
          </w:p>
        </w:tc>
        <w:tc>
          <w:tcPr>
            <w:tcW w:w="4063" w:type="pct"/>
            <w:vAlign w:val="center"/>
          </w:tcPr>
          <w:p w14:paraId="77D2C5F3">
            <w:pPr>
              <w:spacing w:line="360" w:lineRule="auto"/>
              <w:rPr>
                <w:rFonts w:ascii="宋体" w:hAnsi="宋体"/>
                <w:bCs/>
                <w:szCs w:val="21"/>
              </w:rPr>
            </w:pPr>
            <w:r>
              <w:rPr>
                <w:rFonts w:hint="eastAsia" w:ascii="宋体" w:hAnsi="宋体"/>
                <w:bCs/>
                <w:szCs w:val="21"/>
              </w:rPr>
              <w:t>综合能力：病例数、C</w:t>
            </w:r>
            <w:r>
              <w:rPr>
                <w:rFonts w:ascii="宋体" w:hAnsi="宋体"/>
                <w:bCs/>
                <w:szCs w:val="21"/>
              </w:rPr>
              <w:t>MI、</w:t>
            </w:r>
            <w:r>
              <w:rPr>
                <w:rFonts w:hint="eastAsia" w:ascii="宋体" w:hAnsi="宋体"/>
                <w:bCs/>
                <w:szCs w:val="21"/>
              </w:rPr>
              <w:t>组数等；</w:t>
            </w:r>
          </w:p>
          <w:p w14:paraId="0D6096FD">
            <w:pPr>
              <w:spacing w:line="360" w:lineRule="auto"/>
              <w:rPr>
                <w:rFonts w:ascii="宋体" w:hAnsi="宋体"/>
                <w:bCs/>
                <w:szCs w:val="21"/>
              </w:rPr>
            </w:pPr>
            <w:r>
              <w:rPr>
                <w:rFonts w:hint="eastAsia" w:ascii="宋体" w:hAnsi="宋体"/>
                <w:bCs/>
                <w:szCs w:val="21"/>
              </w:rPr>
              <w:t>外科能力：手术患者数及占比、三四级手术台次及占比；</w:t>
            </w:r>
          </w:p>
          <w:p w14:paraId="54AFC191">
            <w:pPr>
              <w:spacing w:line="360" w:lineRule="auto"/>
              <w:rPr>
                <w:rFonts w:ascii="宋体" w:hAnsi="宋体"/>
                <w:bCs/>
                <w:szCs w:val="21"/>
              </w:rPr>
            </w:pPr>
            <w:r>
              <w:rPr>
                <w:rFonts w:hint="eastAsia" w:ascii="宋体" w:hAnsi="宋体"/>
                <w:bCs/>
                <w:szCs w:val="21"/>
              </w:rPr>
              <w:t>疑难病例诊治能力：R</w:t>
            </w:r>
            <w:r>
              <w:rPr>
                <w:rFonts w:ascii="宋体" w:hAnsi="宋体"/>
                <w:bCs/>
                <w:szCs w:val="21"/>
              </w:rPr>
              <w:t>W&gt;2</w:t>
            </w:r>
            <w:r>
              <w:rPr>
                <w:rFonts w:hint="eastAsia" w:ascii="宋体" w:hAnsi="宋体"/>
                <w:bCs/>
                <w:szCs w:val="21"/>
              </w:rPr>
              <w:t>的病例数及占比、RW</w:t>
            </w:r>
            <w:r>
              <w:rPr>
                <w:rFonts w:ascii="宋体" w:hAnsi="宋体"/>
                <w:bCs/>
                <w:szCs w:val="21"/>
              </w:rPr>
              <w:t>&gt;2</w:t>
            </w:r>
            <w:r>
              <w:rPr>
                <w:rFonts w:hint="eastAsia" w:ascii="宋体" w:hAnsi="宋体"/>
                <w:bCs/>
                <w:szCs w:val="21"/>
              </w:rPr>
              <w:t>分段统计分析；</w:t>
            </w:r>
          </w:p>
          <w:p w14:paraId="62B4C02E">
            <w:pPr>
              <w:spacing w:line="360" w:lineRule="auto"/>
              <w:rPr>
                <w:rFonts w:ascii="宋体" w:hAnsi="宋体"/>
                <w:bCs/>
                <w:szCs w:val="21"/>
              </w:rPr>
            </w:pPr>
            <w:r>
              <w:rPr>
                <w:rFonts w:hint="eastAsia" w:ascii="宋体" w:hAnsi="宋体"/>
                <w:bCs/>
                <w:szCs w:val="21"/>
              </w:rPr>
              <w:t>专科能力：各专科重点病种的病例数、占比、均次费用、药费、耗材费、药占比、耗材占比、平均住院日等；</w:t>
            </w:r>
          </w:p>
          <w:p w14:paraId="66F04CF4">
            <w:pPr>
              <w:spacing w:line="360" w:lineRule="auto"/>
              <w:rPr>
                <w:rFonts w:ascii="宋体" w:hAnsi="宋体"/>
                <w:bCs/>
                <w:szCs w:val="21"/>
              </w:rPr>
            </w:pPr>
            <w:r>
              <w:rPr>
                <w:rFonts w:hint="eastAsia" w:ascii="宋体" w:hAnsi="宋体"/>
                <w:bCs/>
                <w:szCs w:val="21"/>
              </w:rPr>
              <w:t>医疗质量：死亡率、低风险死亡率、中低风险死亡率等</w:t>
            </w:r>
          </w:p>
        </w:tc>
      </w:tr>
    </w:tbl>
    <w:p w14:paraId="086CC90A">
      <w:pPr>
        <w:adjustRightInd w:val="0"/>
        <w:snapToGrid w:val="0"/>
        <w:spacing w:line="360" w:lineRule="auto"/>
        <w:rPr>
          <w:rFonts w:hint="eastAsia" w:ascii="宋体" w:hAnsi="宋体"/>
          <w:b/>
          <w:sz w:val="28"/>
          <w:szCs w:val="28"/>
        </w:rPr>
      </w:pPr>
    </w:p>
    <w:p w14:paraId="28D5753B">
      <w:pPr>
        <w:adjustRightInd w:val="0"/>
        <w:snapToGrid w:val="0"/>
        <w:spacing w:line="360" w:lineRule="auto"/>
        <w:rPr>
          <w:rFonts w:hint="eastAsia" w:ascii="宋体" w:hAnsi="宋体"/>
          <w:b/>
          <w:sz w:val="32"/>
          <w:szCs w:val="32"/>
        </w:rPr>
      </w:pPr>
    </w:p>
    <w:p w14:paraId="4FF6B188">
      <w:pPr>
        <w:adjustRightInd w:val="0"/>
        <w:snapToGrid w:val="0"/>
        <w:spacing w:line="360" w:lineRule="auto"/>
        <w:jc w:val="center"/>
        <w:rPr>
          <w:rFonts w:hint="eastAsia" w:ascii="宋体" w:hAnsi="宋体"/>
          <w:b/>
          <w:sz w:val="32"/>
          <w:szCs w:val="32"/>
        </w:rPr>
      </w:pPr>
      <w:r>
        <w:rPr>
          <w:rFonts w:hint="eastAsia" w:ascii="宋体" w:hAnsi="宋体"/>
          <w:b/>
          <w:sz w:val="32"/>
          <w:szCs w:val="32"/>
        </w:rPr>
        <w:t>第三部分  开标、评标及定标</w:t>
      </w:r>
    </w:p>
    <w:p w14:paraId="6A5101CE">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一、开标</w:t>
      </w:r>
    </w:p>
    <w:p w14:paraId="7398764A">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开标时间及地点：以招标公告为准</w:t>
      </w:r>
    </w:p>
    <w:p w14:paraId="623AD7A6">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二、评标</w:t>
      </w:r>
    </w:p>
    <w:p w14:paraId="4D86480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 xml:space="preserve">1、评标小组：招标人将组成评标小组，负责对投标文件综合评审。 </w:t>
      </w:r>
    </w:p>
    <w:p w14:paraId="0EFE374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2、评标原则：按照公平、公正、择优的原则，选出优质价廉的投标人。</w:t>
      </w:r>
    </w:p>
    <w:p w14:paraId="7BECA99F">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3、本次招标项目的评标方法为综合评分法，按以下评标标准进行评审.</w:t>
      </w:r>
    </w:p>
    <w:p w14:paraId="30668900">
      <w:pPr>
        <w:spacing w:line="440" w:lineRule="exact"/>
        <w:ind w:left="480"/>
        <w:jc w:val="center"/>
        <w:rPr>
          <w:rFonts w:hint="eastAsia" w:ascii="宋体" w:hAnsi="宋体" w:cs="宋体"/>
          <w:b/>
          <w:sz w:val="28"/>
          <w:szCs w:val="28"/>
        </w:rPr>
      </w:pPr>
      <w:r>
        <w:rPr>
          <w:rFonts w:hint="eastAsia" w:ascii="宋体" w:hAnsi="宋体" w:cs="宋体"/>
          <w:b/>
          <w:sz w:val="28"/>
          <w:szCs w:val="28"/>
        </w:rPr>
        <w:t>评分标准</w:t>
      </w:r>
    </w:p>
    <w:p w14:paraId="22E82C78">
      <w:pPr>
        <w:spacing w:line="440" w:lineRule="exact"/>
        <w:ind w:left="480"/>
        <w:rPr>
          <w:rFonts w:hint="eastAsia" w:ascii="宋体" w:hAnsi="宋体" w:cs="宋体"/>
          <w:sz w:val="28"/>
          <w:szCs w:val="28"/>
        </w:rPr>
      </w:pPr>
      <w:r>
        <w:rPr>
          <w:rFonts w:hint="eastAsia" w:ascii="宋体" w:hAnsi="宋体" w:cs="宋体"/>
          <w:b/>
          <w:sz w:val="28"/>
          <w:szCs w:val="28"/>
        </w:rPr>
        <w:t>（一）价格分:</w:t>
      </w:r>
      <w:r>
        <w:rPr>
          <w:rFonts w:hint="eastAsia" w:ascii="宋体" w:hAnsi="宋体" w:cs="宋体"/>
          <w:b/>
          <w:sz w:val="28"/>
          <w:szCs w:val="28"/>
          <w:lang w:val="en-US" w:eastAsia="zh-CN"/>
        </w:rPr>
        <w:t>20</w:t>
      </w:r>
      <w:r>
        <w:rPr>
          <w:rFonts w:hint="eastAsia" w:ascii="宋体" w:hAnsi="宋体" w:cs="宋体"/>
          <w:b/>
          <w:sz w:val="28"/>
          <w:szCs w:val="28"/>
        </w:rPr>
        <w:t>分</w:t>
      </w:r>
    </w:p>
    <w:p w14:paraId="1F8F4677">
      <w:pPr>
        <w:ind w:firstLine="840" w:firstLineChars="300"/>
        <w:rPr>
          <w:rFonts w:hint="eastAsia" w:ascii="宋体" w:hAnsi="宋体" w:cs="宋体"/>
          <w:sz w:val="28"/>
          <w:szCs w:val="28"/>
        </w:rPr>
      </w:pPr>
      <w:r>
        <w:rPr>
          <w:rFonts w:hint="eastAsia" w:ascii="宋体" w:hAnsi="宋体" w:cs="宋体"/>
          <w:sz w:val="28"/>
          <w:szCs w:val="28"/>
        </w:rPr>
        <w:t>满足招标文件要求且报价最低的投标报价为评标基准价，其价格分为满分。其他投标人的价格分统一按照下列公式计算：</w:t>
      </w:r>
    </w:p>
    <w:p w14:paraId="0375E86D">
      <w:pPr>
        <w:tabs>
          <w:tab w:val="left" w:pos="0"/>
        </w:tabs>
        <w:spacing w:line="440" w:lineRule="exact"/>
        <w:ind w:firstLine="560" w:firstLineChars="200"/>
        <w:rPr>
          <w:rFonts w:hint="eastAsia" w:ascii="宋体" w:hAnsi="宋体" w:cs="宋体"/>
          <w:sz w:val="28"/>
          <w:szCs w:val="28"/>
        </w:rPr>
      </w:pPr>
      <w:r>
        <w:rPr>
          <w:rFonts w:hint="eastAsia" w:ascii="宋体" w:hAnsi="宋体" w:cs="宋体"/>
          <w:sz w:val="28"/>
          <w:szCs w:val="28"/>
        </w:rPr>
        <w:t>投标报价得分=（评标基准价/投标报价）×价格权重分(保留两位小数)</w:t>
      </w:r>
    </w:p>
    <w:p w14:paraId="19D2DCE8">
      <w:pPr>
        <w:spacing w:line="440" w:lineRule="exact"/>
        <w:ind w:firstLine="562" w:firstLineChars="200"/>
        <w:rPr>
          <w:rFonts w:hint="eastAsia" w:ascii="宋体" w:hAnsi="宋体" w:cs="宋体"/>
          <w:b/>
          <w:sz w:val="28"/>
          <w:szCs w:val="28"/>
        </w:rPr>
      </w:pPr>
      <w:r>
        <w:rPr>
          <w:rFonts w:hint="eastAsia" w:ascii="宋体" w:hAnsi="宋体" w:cs="宋体"/>
          <w:b/>
          <w:sz w:val="28"/>
          <w:szCs w:val="28"/>
        </w:rPr>
        <w:t>（二）技术分：</w:t>
      </w:r>
      <w:r>
        <w:rPr>
          <w:rFonts w:hint="eastAsia" w:ascii="宋体" w:hAnsi="宋体" w:cs="宋体"/>
          <w:b/>
          <w:sz w:val="28"/>
          <w:szCs w:val="28"/>
          <w:lang w:val="en-US" w:eastAsia="zh-CN"/>
        </w:rPr>
        <w:t>80</w:t>
      </w:r>
      <w:r>
        <w:rPr>
          <w:rFonts w:hint="eastAsia" w:ascii="宋体" w:hAnsi="宋体" w:cs="宋体"/>
          <w:b/>
          <w:sz w:val="28"/>
          <w:szCs w:val="28"/>
        </w:rPr>
        <w:t>分</w:t>
      </w: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4"/>
        <w:gridCol w:w="2250"/>
        <w:gridCol w:w="5981"/>
        <w:gridCol w:w="883"/>
      </w:tblGrid>
      <w:tr w14:paraId="4D74A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7" w:hRule="atLeast"/>
          <w:jc w:val="center"/>
        </w:trPr>
        <w:tc>
          <w:tcPr>
            <w:tcW w:w="524" w:type="dxa"/>
            <w:noWrap w:val="0"/>
            <w:vAlign w:val="center"/>
          </w:tcPr>
          <w:p w14:paraId="0F631D35">
            <w:pPr>
              <w:spacing w:line="300" w:lineRule="exact"/>
              <w:rPr>
                <w:rFonts w:hint="eastAsia" w:ascii="宋体" w:hAnsi="宋体" w:eastAsia="宋体" w:cs="宋体"/>
                <w:color w:val="auto"/>
                <w:kern w:val="2"/>
                <w:sz w:val="21"/>
                <w:szCs w:val="21"/>
                <w:highlight w:val="none"/>
                <w:lang w:val="en-US" w:eastAsia="zh-CN" w:bidi="ar-SA"/>
              </w:rPr>
            </w:pPr>
            <w:r>
              <w:rPr>
                <w:rFonts w:hint="eastAsia"/>
              </w:rPr>
              <w:t>评分项</w:t>
            </w:r>
          </w:p>
        </w:tc>
        <w:tc>
          <w:tcPr>
            <w:tcW w:w="2250" w:type="dxa"/>
            <w:noWrap w:val="0"/>
            <w:vAlign w:val="center"/>
          </w:tcPr>
          <w:p w14:paraId="10F34C31">
            <w:pPr>
              <w:spacing w:line="300" w:lineRule="exact"/>
              <w:rPr>
                <w:rFonts w:hint="eastAsia" w:ascii="宋体" w:hAnsi="宋体" w:eastAsia="宋体" w:cs="宋体"/>
                <w:color w:val="auto"/>
                <w:kern w:val="2"/>
                <w:sz w:val="21"/>
                <w:szCs w:val="21"/>
                <w:highlight w:val="none"/>
                <w:lang w:val="en-US" w:eastAsia="zh-CN" w:bidi="ar-SA"/>
              </w:rPr>
            </w:pPr>
            <w:r>
              <w:rPr>
                <w:rFonts w:hint="eastAsia"/>
              </w:rPr>
              <w:t>评分因素</w:t>
            </w:r>
          </w:p>
        </w:tc>
        <w:tc>
          <w:tcPr>
            <w:tcW w:w="5981" w:type="dxa"/>
            <w:noWrap w:val="0"/>
            <w:vAlign w:val="center"/>
          </w:tcPr>
          <w:p w14:paraId="2E1468B1">
            <w:pPr>
              <w:spacing w:line="300" w:lineRule="exact"/>
              <w:rPr>
                <w:rFonts w:hint="eastAsia" w:ascii="宋体" w:hAnsi="宋体" w:eastAsia="宋体" w:cs="宋体"/>
                <w:color w:val="auto"/>
                <w:kern w:val="2"/>
                <w:sz w:val="21"/>
                <w:szCs w:val="21"/>
                <w:highlight w:val="none"/>
                <w:lang w:val="en-US" w:eastAsia="zh-CN" w:bidi="ar-SA"/>
              </w:rPr>
            </w:pPr>
            <w:r>
              <w:rPr>
                <w:rFonts w:hint="eastAsia"/>
              </w:rPr>
              <w:t>评分标准</w:t>
            </w:r>
          </w:p>
        </w:tc>
        <w:tc>
          <w:tcPr>
            <w:tcW w:w="883" w:type="dxa"/>
            <w:noWrap w:val="0"/>
            <w:vAlign w:val="center"/>
          </w:tcPr>
          <w:p w14:paraId="04916D5E">
            <w:pPr>
              <w:spacing w:line="300" w:lineRule="exact"/>
              <w:rPr>
                <w:rFonts w:hint="eastAsia" w:ascii="宋体" w:hAnsi="宋体" w:eastAsia="宋体" w:cs="宋体"/>
                <w:color w:val="auto"/>
                <w:kern w:val="2"/>
                <w:sz w:val="21"/>
                <w:szCs w:val="21"/>
                <w:highlight w:val="none"/>
                <w:lang w:val="en-US" w:eastAsia="zh-CN" w:bidi="ar-SA"/>
              </w:rPr>
            </w:pPr>
            <w:r>
              <w:rPr>
                <w:rFonts w:hint="eastAsia"/>
              </w:rPr>
              <w:t>评分项</w:t>
            </w:r>
          </w:p>
        </w:tc>
      </w:tr>
      <w:tr w14:paraId="0D5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63" w:hRule="atLeast"/>
          <w:jc w:val="center"/>
        </w:trPr>
        <w:tc>
          <w:tcPr>
            <w:tcW w:w="524" w:type="dxa"/>
            <w:vMerge w:val="restart"/>
            <w:noWrap w:val="0"/>
            <w:vAlign w:val="center"/>
          </w:tcPr>
          <w:p w14:paraId="414D3466">
            <w:pPr>
              <w:spacing w:line="300" w:lineRule="exact"/>
              <w:rPr>
                <w:rFonts w:hint="eastAsia" w:ascii="宋体" w:hAnsi="宋体" w:eastAsia="宋体" w:cs="宋体"/>
                <w:color w:val="auto"/>
                <w:kern w:val="2"/>
                <w:sz w:val="21"/>
                <w:szCs w:val="21"/>
                <w:highlight w:val="none"/>
                <w:lang w:val="en-US" w:eastAsia="zh-CN" w:bidi="ar-SA"/>
              </w:rPr>
            </w:pPr>
            <w:r>
              <w:rPr>
                <w:rFonts w:hint="eastAsia"/>
              </w:rPr>
              <w:t>商务及技术部分（10分）</w:t>
            </w:r>
          </w:p>
        </w:tc>
        <w:tc>
          <w:tcPr>
            <w:tcW w:w="2250" w:type="dxa"/>
            <w:vMerge w:val="restart"/>
            <w:noWrap w:val="0"/>
            <w:vAlign w:val="center"/>
          </w:tcPr>
          <w:p w14:paraId="55C6F3B3">
            <w:pPr>
              <w:spacing w:line="300" w:lineRule="exact"/>
              <w:rPr>
                <w:rFonts w:hint="eastAsia" w:ascii="宋体" w:hAnsi="宋体" w:eastAsia="宋体" w:cs="宋体"/>
                <w:color w:val="auto"/>
                <w:kern w:val="2"/>
                <w:sz w:val="21"/>
                <w:szCs w:val="21"/>
                <w:highlight w:val="none"/>
                <w:lang w:val="en-US" w:eastAsia="zh-CN" w:bidi="ar-SA"/>
              </w:rPr>
            </w:pPr>
            <w:r>
              <w:rPr>
                <w:rFonts w:hint="eastAsia"/>
              </w:rPr>
              <w:t>2.2服务能力（7分）</w:t>
            </w:r>
          </w:p>
        </w:tc>
        <w:tc>
          <w:tcPr>
            <w:tcW w:w="5981" w:type="dxa"/>
            <w:noWrap w:val="0"/>
            <w:vAlign w:val="center"/>
          </w:tcPr>
          <w:p w14:paraId="599B67B8">
            <w:pPr>
              <w:spacing w:line="300" w:lineRule="exact"/>
              <w:rPr>
                <w:rFonts w:hint="eastAsia" w:ascii="宋体" w:hAnsi="宋体" w:eastAsia="宋体" w:cs="宋体"/>
                <w:color w:val="auto"/>
                <w:kern w:val="2"/>
                <w:sz w:val="21"/>
                <w:szCs w:val="21"/>
                <w:highlight w:val="none"/>
                <w:lang w:val="en-US" w:eastAsia="zh-CN" w:bidi="ar-SA"/>
              </w:rPr>
            </w:pPr>
            <w:r>
              <w:rPr>
                <w:rFonts w:hint="eastAsia"/>
              </w:rPr>
              <w:t>投标人具有本次招标信息系统各软件《软件产品证书》</w:t>
            </w:r>
            <w:r>
              <w:t>和第三方</w:t>
            </w:r>
            <w:r>
              <w:rPr>
                <w:rFonts w:hint="eastAsia"/>
              </w:rPr>
              <w:t>出具的软件测试</w:t>
            </w:r>
            <w:r>
              <w:t>报告</w:t>
            </w:r>
            <w:r>
              <w:rPr>
                <w:rFonts w:hint="eastAsia"/>
              </w:rPr>
              <w:t>，具有“DRG分组器”、“手术分级”、“DRGs数据分析”、“智能编码”、“医院医疗质量分析”关键字（或具有相同功能表述的字段）每个得1分，最高得5分。提供证书复印件加盖公章，否则不得分。</w:t>
            </w:r>
          </w:p>
        </w:tc>
        <w:tc>
          <w:tcPr>
            <w:tcW w:w="883" w:type="dxa"/>
            <w:vMerge w:val="restart"/>
            <w:noWrap w:val="0"/>
            <w:vAlign w:val="center"/>
          </w:tcPr>
          <w:p w14:paraId="1A0CA34E">
            <w:pPr>
              <w:spacing w:line="300" w:lineRule="exact"/>
              <w:rPr>
                <w:rFonts w:hint="eastAsia" w:ascii="宋体" w:hAnsi="宋体" w:eastAsia="宋体" w:cs="宋体"/>
                <w:color w:val="auto"/>
                <w:kern w:val="2"/>
                <w:sz w:val="21"/>
                <w:szCs w:val="21"/>
                <w:highlight w:val="none"/>
                <w:lang w:val="en-US" w:eastAsia="zh-CN" w:bidi="ar-SA"/>
              </w:rPr>
            </w:pPr>
            <w:r>
              <w:rPr>
                <w:rFonts w:hint="eastAsia"/>
              </w:rPr>
              <w:t>商务及技术部分（10分）</w:t>
            </w:r>
          </w:p>
        </w:tc>
      </w:tr>
      <w:tr w14:paraId="5E67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41" w:hRule="atLeast"/>
          <w:jc w:val="center"/>
        </w:trPr>
        <w:tc>
          <w:tcPr>
            <w:tcW w:w="524" w:type="dxa"/>
            <w:vMerge w:val="continue"/>
            <w:noWrap w:val="0"/>
            <w:vAlign w:val="center"/>
          </w:tcPr>
          <w:p w14:paraId="420A27BC">
            <w:pPr>
              <w:spacing w:line="300" w:lineRule="exact"/>
              <w:rPr>
                <w:rFonts w:hint="eastAsia" w:ascii="宋体" w:hAnsi="宋体" w:eastAsia="宋体" w:cs="宋体"/>
                <w:color w:val="auto"/>
                <w:kern w:val="2"/>
                <w:sz w:val="21"/>
                <w:szCs w:val="21"/>
                <w:highlight w:val="none"/>
                <w:lang w:val="en-US" w:eastAsia="zh-CN" w:bidi="ar-SA"/>
              </w:rPr>
            </w:pPr>
          </w:p>
        </w:tc>
        <w:tc>
          <w:tcPr>
            <w:tcW w:w="2250" w:type="dxa"/>
            <w:vMerge w:val="continue"/>
            <w:noWrap w:val="0"/>
            <w:vAlign w:val="center"/>
          </w:tcPr>
          <w:p w14:paraId="14DF36DD">
            <w:pPr>
              <w:spacing w:line="300" w:lineRule="exact"/>
              <w:rPr>
                <w:rFonts w:hint="eastAsia" w:ascii="宋体" w:hAnsi="宋体" w:eastAsia="宋体" w:cs="宋体"/>
                <w:color w:val="auto"/>
                <w:kern w:val="2"/>
                <w:sz w:val="21"/>
                <w:szCs w:val="21"/>
                <w:highlight w:val="none"/>
                <w:lang w:val="en-US" w:eastAsia="zh-CN" w:bidi="ar-SA"/>
              </w:rPr>
            </w:pPr>
          </w:p>
        </w:tc>
        <w:tc>
          <w:tcPr>
            <w:tcW w:w="5981" w:type="dxa"/>
            <w:noWrap w:val="0"/>
            <w:vAlign w:val="center"/>
          </w:tcPr>
          <w:p w14:paraId="5B892868">
            <w:pPr>
              <w:spacing w:line="300" w:lineRule="exact"/>
            </w:pPr>
            <w:r>
              <w:rPr>
                <w:rFonts w:hint="eastAsia"/>
              </w:rPr>
              <w:t>投标人具备DRG信息系统应用于省级DRG平台项目的服务能力</w:t>
            </w:r>
            <w:r>
              <w:t>。</w:t>
            </w:r>
            <w:r>
              <w:rPr>
                <w:rFonts w:hint="eastAsia"/>
              </w:rPr>
              <w:t>投标人每提供1份案例</w:t>
            </w:r>
            <w:r>
              <w:t>得1分，</w:t>
            </w:r>
            <w:r>
              <w:rPr>
                <w:rFonts w:hint="eastAsia"/>
              </w:rPr>
              <w:t>最高得2分，</w:t>
            </w:r>
            <w:r>
              <w:t>没有不得分。</w:t>
            </w:r>
          </w:p>
          <w:p w14:paraId="164362C7">
            <w:pPr>
              <w:spacing w:line="300" w:lineRule="exact"/>
              <w:rPr>
                <w:rFonts w:hint="eastAsia" w:ascii="宋体" w:hAnsi="宋体" w:eastAsia="宋体" w:cs="宋体"/>
                <w:color w:val="auto"/>
                <w:kern w:val="2"/>
                <w:sz w:val="21"/>
                <w:szCs w:val="21"/>
                <w:highlight w:val="none"/>
                <w:lang w:val="en-US" w:eastAsia="zh-CN" w:bidi="ar-SA"/>
              </w:rPr>
            </w:pPr>
            <w:r>
              <w:rPr>
                <w:rFonts w:hint="eastAsia"/>
              </w:rPr>
              <w:t>投标人提供能够证明服务能力案例的中标文件或合同</w:t>
            </w:r>
            <w:r>
              <w:t>或相关证明文件资料（以合同签订时间为准，中标方或合同乙方必须是投标人）。</w:t>
            </w:r>
            <w:r>
              <w:rPr>
                <w:rFonts w:hint="eastAsia"/>
              </w:rPr>
              <w:t>投标文件</w:t>
            </w:r>
            <w:r>
              <w:t>中须附中标文件或合同或相关证明文件资料扫描件</w:t>
            </w:r>
            <w:r>
              <w:rPr>
                <w:rFonts w:hint="eastAsia"/>
              </w:rPr>
              <w:t>并加盖公章。</w:t>
            </w:r>
          </w:p>
        </w:tc>
        <w:tc>
          <w:tcPr>
            <w:tcW w:w="883" w:type="dxa"/>
            <w:vMerge w:val="continue"/>
            <w:noWrap w:val="0"/>
            <w:vAlign w:val="center"/>
          </w:tcPr>
          <w:p w14:paraId="325D1FFF">
            <w:pPr>
              <w:spacing w:line="300" w:lineRule="exact"/>
              <w:rPr>
                <w:rFonts w:hint="eastAsia" w:ascii="宋体" w:hAnsi="宋体" w:eastAsia="宋体" w:cs="宋体"/>
                <w:color w:val="auto"/>
                <w:kern w:val="2"/>
                <w:sz w:val="21"/>
                <w:szCs w:val="21"/>
                <w:highlight w:val="none"/>
                <w:lang w:val="en-US" w:eastAsia="zh-CN" w:bidi="ar-SA"/>
              </w:rPr>
            </w:pPr>
          </w:p>
        </w:tc>
      </w:tr>
      <w:tr w14:paraId="4D9B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24" w:type="dxa"/>
            <w:vMerge w:val="continue"/>
            <w:noWrap w:val="0"/>
            <w:vAlign w:val="center"/>
          </w:tcPr>
          <w:p w14:paraId="601B22C3">
            <w:pPr>
              <w:spacing w:line="300" w:lineRule="exact"/>
              <w:rPr>
                <w:rFonts w:hint="eastAsia" w:ascii="宋体" w:hAnsi="宋体" w:eastAsia="宋体" w:cs="宋体"/>
                <w:color w:val="auto"/>
                <w:kern w:val="2"/>
                <w:sz w:val="21"/>
                <w:szCs w:val="21"/>
                <w:highlight w:val="none"/>
                <w:lang w:val="en-US" w:eastAsia="zh-CN" w:bidi="ar-SA"/>
              </w:rPr>
            </w:pPr>
          </w:p>
        </w:tc>
        <w:tc>
          <w:tcPr>
            <w:tcW w:w="2250" w:type="dxa"/>
            <w:noWrap w:val="0"/>
            <w:vAlign w:val="center"/>
          </w:tcPr>
          <w:p w14:paraId="2068264F">
            <w:pPr>
              <w:spacing w:line="300" w:lineRule="exact"/>
              <w:rPr>
                <w:rFonts w:hint="eastAsia" w:ascii="宋体" w:hAnsi="宋体" w:eastAsia="宋体" w:cs="宋体"/>
                <w:color w:val="auto"/>
                <w:kern w:val="2"/>
                <w:sz w:val="21"/>
                <w:szCs w:val="21"/>
                <w:highlight w:val="none"/>
                <w:lang w:val="en-US" w:eastAsia="zh-CN" w:bidi="ar-SA"/>
              </w:rPr>
            </w:pPr>
            <w:r>
              <w:rPr>
                <w:rFonts w:hint="eastAsia"/>
              </w:rPr>
              <w:t>2.3项目业绩（2分）</w:t>
            </w:r>
          </w:p>
        </w:tc>
        <w:tc>
          <w:tcPr>
            <w:tcW w:w="5981" w:type="dxa"/>
            <w:noWrap w:val="0"/>
            <w:vAlign w:val="center"/>
          </w:tcPr>
          <w:p w14:paraId="470D16BA">
            <w:pPr>
              <w:spacing w:line="300" w:lineRule="exact"/>
            </w:pPr>
            <w:r>
              <w:rPr>
                <w:rFonts w:hint="eastAsia"/>
              </w:rPr>
              <w:t>投标人提供其类似D</w:t>
            </w:r>
            <w:r>
              <w:t>RG</w:t>
            </w:r>
            <w:r>
              <w:rPr>
                <w:rFonts w:hint="eastAsia"/>
              </w:rPr>
              <w:t>系统</w:t>
            </w:r>
            <w:r>
              <w:t>应用</w:t>
            </w:r>
            <w:r>
              <w:rPr>
                <w:rFonts w:hint="eastAsia"/>
              </w:rPr>
              <w:t>于类似客户的案例，每份案例得</w:t>
            </w:r>
            <w:r>
              <w:t>1</w:t>
            </w:r>
            <w:r>
              <w:rPr>
                <w:rFonts w:hint="eastAsia"/>
              </w:rPr>
              <w:t>分，最高2分，没有不得分。</w:t>
            </w:r>
          </w:p>
          <w:p w14:paraId="1F161429">
            <w:pPr>
              <w:spacing w:line="300" w:lineRule="exact"/>
              <w:rPr>
                <w:rFonts w:hint="eastAsia" w:ascii="宋体" w:hAnsi="宋体" w:eastAsia="宋体" w:cs="宋体"/>
                <w:color w:val="auto"/>
                <w:kern w:val="2"/>
                <w:sz w:val="21"/>
                <w:szCs w:val="21"/>
                <w:highlight w:val="none"/>
                <w:lang w:val="en-US" w:eastAsia="zh-CN" w:bidi="ar-SA"/>
              </w:rPr>
            </w:pPr>
            <w:r>
              <w:rPr>
                <w:rFonts w:hint="eastAsia"/>
              </w:rPr>
              <w:t>投标人提供20</w:t>
            </w:r>
            <w:r>
              <w:t>2</w:t>
            </w:r>
            <w:r>
              <w:rPr>
                <w:rFonts w:hint="eastAsia"/>
                <w:lang w:val="en-US" w:eastAsia="zh-CN"/>
              </w:rPr>
              <w:t>3</w:t>
            </w:r>
            <w:r>
              <w:rPr>
                <w:rFonts w:hint="eastAsia"/>
              </w:rPr>
              <w:t>年1月1日以来项目案例的中标文件或合同</w:t>
            </w:r>
            <w:r>
              <w:t>或相关证明文件资料（以中标时间或合同签订时间为准，中标方或合同乙方必须是投标人）。须附中标文件或合同或相关证明文件</w:t>
            </w:r>
            <w:r>
              <w:rPr>
                <w:rFonts w:hint="eastAsia"/>
              </w:rPr>
              <w:t>资料</w:t>
            </w:r>
            <w:r>
              <w:t>扫描件</w:t>
            </w:r>
            <w:r>
              <w:rPr>
                <w:rFonts w:hint="eastAsia"/>
              </w:rPr>
              <w:t>并加盖公章</w:t>
            </w:r>
            <w:r>
              <w:t>。</w:t>
            </w:r>
          </w:p>
        </w:tc>
        <w:tc>
          <w:tcPr>
            <w:tcW w:w="883" w:type="dxa"/>
            <w:vMerge w:val="continue"/>
            <w:noWrap w:val="0"/>
            <w:vAlign w:val="center"/>
          </w:tcPr>
          <w:p w14:paraId="0085A55E">
            <w:pPr>
              <w:spacing w:line="300" w:lineRule="exact"/>
              <w:rPr>
                <w:rFonts w:hint="eastAsia" w:ascii="宋体" w:hAnsi="宋体" w:eastAsia="宋体" w:cs="宋体"/>
                <w:color w:val="auto"/>
                <w:kern w:val="2"/>
                <w:sz w:val="21"/>
                <w:szCs w:val="21"/>
                <w:highlight w:val="none"/>
                <w:lang w:val="en-US" w:eastAsia="zh-CN" w:bidi="ar-SA"/>
              </w:rPr>
            </w:pPr>
          </w:p>
        </w:tc>
      </w:tr>
      <w:tr w14:paraId="3BFC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14:paraId="26588D46">
            <w:pPr>
              <w:spacing w:line="300" w:lineRule="exact"/>
              <w:rPr>
                <w:rFonts w:hint="eastAsia" w:ascii="宋体" w:hAnsi="宋体" w:eastAsia="宋体" w:cs="宋体"/>
                <w:color w:val="auto"/>
                <w:kern w:val="2"/>
                <w:sz w:val="21"/>
                <w:szCs w:val="21"/>
                <w:highlight w:val="none"/>
                <w:lang w:val="en-US" w:eastAsia="zh-CN" w:bidi="ar-SA"/>
              </w:rPr>
            </w:pPr>
          </w:p>
        </w:tc>
        <w:tc>
          <w:tcPr>
            <w:tcW w:w="2250" w:type="dxa"/>
            <w:noWrap w:val="0"/>
            <w:vAlign w:val="center"/>
          </w:tcPr>
          <w:p w14:paraId="60F3E151">
            <w:pPr>
              <w:spacing w:line="300" w:lineRule="exact"/>
              <w:rPr>
                <w:rFonts w:hint="eastAsia" w:ascii="宋体" w:hAnsi="宋体" w:eastAsia="宋体" w:cs="宋体"/>
                <w:color w:val="auto"/>
                <w:kern w:val="2"/>
                <w:sz w:val="21"/>
                <w:szCs w:val="21"/>
                <w:highlight w:val="none"/>
                <w:lang w:val="en-US" w:eastAsia="zh-CN" w:bidi="ar-SA"/>
              </w:rPr>
            </w:pPr>
            <w:r>
              <w:rPr>
                <w:rFonts w:hint="eastAsia"/>
              </w:rPr>
              <w:t>2.4项目团队（1分）</w:t>
            </w:r>
          </w:p>
        </w:tc>
        <w:tc>
          <w:tcPr>
            <w:tcW w:w="5981" w:type="dxa"/>
            <w:noWrap w:val="0"/>
            <w:vAlign w:val="center"/>
          </w:tcPr>
          <w:p w14:paraId="53D8BD97">
            <w:pPr>
              <w:spacing w:line="300" w:lineRule="exact"/>
            </w:pPr>
            <w:r>
              <w:rPr>
                <w:rFonts w:hint="eastAsia"/>
              </w:rPr>
              <w:t>投标人拟派项目团队负责人须为投标人正式聘用人员（须提供该项目经理在本单位总部所在地的社保证明及个人缴税证明，须有总部所在地相关主管部门盖章，打印日期须在本项目投标截止日之前三个月以内)，并符合下列要求的得1分，否则不得分：</w:t>
            </w:r>
          </w:p>
          <w:p w14:paraId="4F2A4C53">
            <w:pPr>
              <w:spacing w:line="300" w:lineRule="exact"/>
            </w:pPr>
            <w:r>
              <w:rPr>
                <w:rFonts w:hint="eastAsia"/>
              </w:rPr>
              <w:t>有10年或以上工作经验(从学历证明日期起视为参加工作)。</w:t>
            </w:r>
          </w:p>
          <w:p w14:paraId="2E020151">
            <w:pPr>
              <w:spacing w:line="300" w:lineRule="exact"/>
            </w:pPr>
            <w:r>
              <w:rPr>
                <w:rFonts w:hint="eastAsia"/>
              </w:rPr>
              <w:t>招标文件中须附证书扫描件。</w:t>
            </w:r>
          </w:p>
          <w:p w14:paraId="2499041A">
            <w:pPr>
              <w:spacing w:line="300" w:lineRule="exact"/>
              <w:rPr>
                <w:rFonts w:hint="eastAsia" w:ascii="宋体" w:hAnsi="宋体" w:eastAsia="宋体" w:cs="宋体"/>
                <w:color w:val="auto"/>
                <w:kern w:val="2"/>
                <w:sz w:val="21"/>
                <w:szCs w:val="21"/>
                <w:highlight w:val="none"/>
                <w:lang w:val="en-US" w:eastAsia="zh-CN" w:bidi="ar-SA"/>
              </w:rPr>
            </w:pPr>
            <w:r>
              <w:rPr>
                <w:rFonts w:hint="eastAsia"/>
              </w:rPr>
              <w:t>招标响应文件中须附证书扫描件，以及项目团队人员招标截止之日前3个月内的社保证明扫描件。</w:t>
            </w:r>
          </w:p>
        </w:tc>
        <w:tc>
          <w:tcPr>
            <w:tcW w:w="883" w:type="dxa"/>
            <w:vMerge w:val="continue"/>
            <w:noWrap w:val="0"/>
            <w:vAlign w:val="center"/>
          </w:tcPr>
          <w:p w14:paraId="301DD925">
            <w:pPr>
              <w:spacing w:line="300" w:lineRule="exact"/>
              <w:rPr>
                <w:rFonts w:hint="eastAsia" w:ascii="宋体" w:hAnsi="宋体" w:eastAsia="宋体" w:cs="宋体"/>
                <w:color w:val="auto"/>
                <w:kern w:val="2"/>
                <w:sz w:val="21"/>
                <w:szCs w:val="21"/>
                <w:highlight w:val="none"/>
                <w:lang w:val="en-US" w:eastAsia="zh-CN" w:bidi="ar-SA"/>
              </w:rPr>
            </w:pPr>
          </w:p>
        </w:tc>
      </w:tr>
      <w:tr w14:paraId="2DF2A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restart"/>
            <w:noWrap w:val="0"/>
            <w:vAlign w:val="center"/>
          </w:tcPr>
          <w:p w14:paraId="7D5DDC33">
            <w:pPr>
              <w:spacing w:line="300" w:lineRule="exact"/>
              <w:rPr>
                <w:rFonts w:hint="eastAsia" w:ascii="宋体" w:hAnsi="宋体" w:eastAsia="宋体" w:cs="宋体"/>
                <w:color w:val="auto"/>
                <w:sz w:val="21"/>
                <w:szCs w:val="21"/>
              </w:rPr>
            </w:pPr>
            <w:r>
              <w:rPr>
                <w:rFonts w:hint="eastAsia"/>
              </w:rPr>
              <w:t>技术部分（7</w:t>
            </w:r>
            <w:r>
              <w:t>0</w:t>
            </w:r>
            <w:r>
              <w:rPr>
                <w:rFonts w:hint="eastAsia"/>
              </w:rPr>
              <w:t>分）</w:t>
            </w:r>
          </w:p>
        </w:tc>
        <w:tc>
          <w:tcPr>
            <w:tcW w:w="2250" w:type="dxa"/>
            <w:noWrap w:val="0"/>
            <w:vAlign w:val="center"/>
          </w:tcPr>
          <w:p w14:paraId="189A422C">
            <w:pPr>
              <w:spacing w:line="300" w:lineRule="exact"/>
              <w:rPr>
                <w:rFonts w:hint="eastAsia" w:ascii="宋体" w:hAnsi="宋体" w:eastAsia="宋体" w:cs="宋体"/>
                <w:color w:val="auto"/>
                <w:sz w:val="21"/>
                <w:szCs w:val="21"/>
                <w:highlight w:val="none"/>
              </w:rPr>
            </w:pPr>
            <w:r>
              <w:rPr>
                <w:rFonts w:hint="eastAsia"/>
              </w:rPr>
              <w:t>3.1项目方案设计（30分）</w:t>
            </w:r>
          </w:p>
        </w:tc>
        <w:tc>
          <w:tcPr>
            <w:tcW w:w="5981" w:type="dxa"/>
            <w:noWrap w:val="0"/>
            <w:vAlign w:val="center"/>
          </w:tcPr>
          <w:p w14:paraId="4A4152A4">
            <w:pPr>
              <w:spacing w:line="300" w:lineRule="exact"/>
            </w:pPr>
            <w:r>
              <w:rPr>
                <w:rFonts w:hint="eastAsia"/>
              </w:rPr>
              <w:t>1</w:t>
            </w:r>
            <w:r>
              <w:t>.</w:t>
            </w:r>
            <w:r>
              <w:rPr>
                <w:rFonts w:hint="eastAsia"/>
              </w:rPr>
              <w:t>项目背景及需求分析10分</w:t>
            </w:r>
          </w:p>
          <w:p w14:paraId="722EDE9D">
            <w:pPr>
              <w:spacing w:line="300" w:lineRule="exact"/>
            </w:pPr>
            <w:r>
              <w:rPr>
                <w:rFonts w:hint="eastAsia"/>
              </w:rPr>
              <w:t>投标人对政策背景、信息化现状、目标、需求、问题措施等方面整体情况的分析，评委根据投标文件相关章节的描述情况综合打分。</w:t>
            </w:r>
          </w:p>
          <w:p w14:paraId="72C4BE05">
            <w:pPr>
              <w:spacing w:line="300" w:lineRule="exact"/>
            </w:pPr>
            <w:r>
              <w:rPr>
                <w:rFonts w:hint="eastAsia"/>
              </w:rPr>
              <w:t>对背景、现状了解和分析透彻，了解项目需求和目标，能就项目建设难点重点提出具体的分析和措施的得10分。</w:t>
            </w:r>
          </w:p>
          <w:p w14:paraId="59370E10">
            <w:pPr>
              <w:spacing w:line="300" w:lineRule="exact"/>
            </w:pPr>
            <w:r>
              <w:rPr>
                <w:rFonts w:hint="eastAsia"/>
              </w:rPr>
              <w:t>对背景、现状基本了解，能适当提出项目建设需求，了解项目建设目标的得6分。</w:t>
            </w:r>
          </w:p>
          <w:p w14:paraId="557A1DB7">
            <w:pPr>
              <w:spacing w:line="300" w:lineRule="exact"/>
            </w:pPr>
            <w:r>
              <w:rPr>
                <w:rFonts w:hint="eastAsia"/>
                <w:lang w:eastAsia="zh-CN"/>
              </w:rPr>
              <w:t>仅</w:t>
            </w:r>
            <w:r>
              <w:rPr>
                <w:rFonts w:hint="eastAsia"/>
              </w:rPr>
              <w:t>符合招标文件需求的得2分。</w:t>
            </w:r>
          </w:p>
          <w:p w14:paraId="00314021">
            <w:pPr>
              <w:spacing w:line="300" w:lineRule="exact"/>
            </w:pPr>
            <w:r>
              <w:rPr>
                <w:rFonts w:hint="eastAsia"/>
              </w:rPr>
              <w:t>2、项目总体设计10分</w:t>
            </w:r>
          </w:p>
          <w:p w14:paraId="0E62D59D">
            <w:pPr>
              <w:spacing w:line="300" w:lineRule="exact"/>
            </w:pPr>
            <w:r>
              <w:rPr>
                <w:rFonts w:hint="eastAsia"/>
              </w:rPr>
              <w:t>投标人能根据项目需求目标提出具有针对性的项目总体设计方案，评委根据投标文件相关章节的描述情况综合打分。</w:t>
            </w:r>
          </w:p>
          <w:p w14:paraId="7E8C3699">
            <w:pPr>
              <w:spacing w:line="300" w:lineRule="exact"/>
            </w:pPr>
            <w:r>
              <w:rPr>
                <w:rFonts w:hint="eastAsia"/>
              </w:rPr>
              <w:t>总体设计方案符合实际建设要求，技术路线、系统架构合理，切实可行的得10分</w:t>
            </w:r>
          </w:p>
          <w:p w14:paraId="52DC69F6">
            <w:pPr>
              <w:spacing w:line="300" w:lineRule="exact"/>
            </w:pPr>
            <w:r>
              <w:rPr>
                <w:rFonts w:hint="eastAsia"/>
              </w:rPr>
              <w:t>总体设计方案符合招标需求，技术路线、系统架构具有一定的合理性，具有一定的可行性的得6分</w:t>
            </w:r>
          </w:p>
          <w:p w14:paraId="4E6511DA">
            <w:pPr>
              <w:spacing w:line="300" w:lineRule="exact"/>
            </w:pPr>
            <w:r>
              <w:rPr>
                <w:rFonts w:hint="eastAsia"/>
              </w:rPr>
              <w:t>总体设计方案符合招标需求，理论上可行的得2分</w:t>
            </w:r>
          </w:p>
          <w:p w14:paraId="59846685">
            <w:pPr>
              <w:spacing w:line="300" w:lineRule="exact"/>
            </w:pPr>
            <w:r>
              <w:rPr>
                <w:rFonts w:hint="eastAsia"/>
              </w:rPr>
              <w:t>3、投标人方案的针对性、可行性、完整性10分</w:t>
            </w:r>
          </w:p>
          <w:p w14:paraId="21D6A937">
            <w:pPr>
              <w:spacing w:line="300" w:lineRule="exact"/>
            </w:pPr>
            <w:r>
              <w:rPr>
                <w:rFonts w:hint="eastAsia"/>
              </w:rPr>
              <w:t>方案完整，充分考虑用户需求，服务方案针对性及可行性很高：10分；</w:t>
            </w:r>
          </w:p>
          <w:p w14:paraId="47C54BAE">
            <w:pPr>
              <w:spacing w:line="300" w:lineRule="exact"/>
            </w:pPr>
            <w:r>
              <w:rPr>
                <w:rFonts w:hint="eastAsia"/>
              </w:rPr>
              <w:t>方案比较完整，服务方案具有一定的针对性及可行性：6分；</w:t>
            </w:r>
          </w:p>
          <w:p w14:paraId="3F10AE4B">
            <w:pPr>
              <w:spacing w:line="300" w:lineRule="exact"/>
              <w:rPr>
                <w:rFonts w:hint="eastAsia" w:ascii="宋体" w:hAnsi="宋体" w:eastAsia="宋体" w:cs="宋体"/>
                <w:color w:val="auto"/>
                <w:kern w:val="2"/>
                <w:sz w:val="21"/>
                <w:szCs w:val="21"/>
                <w:highlight w:val="none"/>
                <w:lang w:val="en-US" w:eastAsia="zh-CN" w:bidi="ar-SA"/>
              </w:rPr>
            </w:pPr>
            <w:r>
              <w:rPr>
                <w:rFonts w:hint="eastAsia"/>
              </w:rPr>
              <w:t>方案不够完整，针对性不强：2分。</w:t>
            </w:r>
          </w:p>
        </w:tc>
        <w:tc>
          <w:tcPr>
            <w:tcW w:w="883" w:type="dxa"/>
            <w:vMerge w:val="restart"/>
            <w:noWrap w:val="0"/>
            <w:vAlign w:val="center"/>
          </w:tcPr>
          <w:p w14:paraId="255D0F80">
            <w:pPr>
              <w:spacing w:line="300" w:lineRule="exact"/>
              <w:rPr>
                <w:rFonts w:hint="eastAsia" w:ascii="宋体" w:hAnsi="宋体" w:eastAsia="宋体" w:cs="宋体"/>
                <w:color w:val="auto"/>
                <w:kern w:val="2"/>
                <w:sz w:val="21"/>
                <w:szCs w:val="21"/>
                <w:highlight w:val="none"/>
                <w:lang w:val="en-US" w:eastAsia="zh-CN" w:bidi="ar-SA"/>
              </w:rPr>
            </w:pPr>
            <w:r>
              <w:rPr>
                <w:rFonts w:hint="eastAsia"/>
              </w:rPr>
              <w:t>技术部分（7</w:t>
            </w:r>
            <w:r>
              <w:t>0</w:t>
            </w:r>
            <w:r>
              <w:rPr>
                <w:rFonts w:hint="eastAsia"/>
              </w:rPr>
              <w:t>分）</w:t>
            </w:r>
          </w:p>
        </w:tc>
      </w:tr>
      <w:tr w14:paraId="6C07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14:paraId="64ED6ADC">
            <w:pPr>
              <w:spacing w:line="300" w:lineRule="exact"/>
              <w:rPr>
                <w:rFonts w:hint="eastAsia" w:ascii="宋体" w:hAnsi="宋体" w:eastAsia="宋体" w:cs="宋体"/>
                <w:color w:val="auto"/>
                <w:sz w:val="21"/>
                <w:szCs w:val="21"/>
              </w:rPr>
            </w:pPr>
          </w:p>
        </w:tc>
        <w:tc>
          <w:tcPr>
            <w:tcW w:w="2250" w:type="dxa"/>
            <w:noWrap w:val="0"/>
            <w:vAlign w:val="center"/>
          </w:tcPr>
          <w:p w14:paraId="7BC2EE64">
            <w:pPr>
              <w:spacing w:line="300" w:lineRule="exact"/>
              <w:rPr>
                <w:rFonts w:hint="eastAsia" w:ascii="宋体" w:hAnsi="宋体" w:eastAsia="宋体" w:cs="宋体"/>
                <w:color w:val="auto"/>
                <w:sz w:val="21"/>
                <w:szCs w:val="21"/>
                <w:highlight w:val="none"/>
              </w:rPr>
            </w:pPr>
            <w:r>
              <w:rPr>
                <w:rFonts w:hint="eastAsia"/>
              </w:rPr>
              <w:t>3.2项目培训（10分）</w:t>
            </w:r>
          </w:p>
        </w:tc>
        <w:tc>
          <w:tcPr>
            <w:tcW w:w="5981" w:type="dxa"/>
            <w:noWrap w:val="0"/>
            <w:vAlign w:val="center"/>
          </w:tcPr>
          <w:p w14:paraId="5CC2E024">
            <w:pPr>
              <w:spacing w:line="300" w:lineRule="exact"/>
            </w:pPr>
            <w:r>
              <w:rPr>
                <w:rFonts w:hint="eastAsia"/>
              </w:rPr>
              <w:t>投标人针对项目实施制定有培训方案和培训计划，培训范围至少覆盖信息系统管理人员、操作人员、中层管理者及医院决策者等。</w:t>
            </w:r>
          </w:p>
          <w:p w14:paraId="452A1936">
            <w:pPr>
              <w:spacing w:line="300" w:lineRule="exact"/>
              <w:rPr>
                <w:rFonts w:hint="eastAsia" w:ascii="宋体" w:hAnsi="宋体" w:eastAsia="宋体" w:cs="宋体"/>
                <w:color w:val="auto"/>
                <w:kern w:val="2"/>
                <w:sz w:val="21"/>
                <w:szCs w:val="21"/>
                <w:highlight w:val="none"/>
                <w:lang w:val="en-US" w:eastAsia="zh-CN" w:bidi="ar-SA"/>
              </w:rPr>
            </w:pPr>
            <w:r>
              <w:rPr>
                <w:rFonts w:hint="eastAsia"/>
              </w:rPr>
              <w:t>查看培训方案和培训计划的完善度、以及对项目需求的满足度和响应性。优得10分；良得</w:t>
            </w:r>
            <w:r>
              <w:rPr>
                <w:rFonts w:hint="eastAsia"/>
                <w:lang w:val="en-US" w:eastAsia="zh-CN"/>
              </w:rPr>
              <w:t>6</w:t>
            </w:r>
            <w:r>
              <w:rPr>
                <w:rFonts w:hint="eastAsia"/>
              </w:rPr>
              <w:t>分；差得</w:t>
            </w:r>
            <w:r>
              <w:rPr>
                <w:rFonts w:hint="eastAsia"/>
                <w:lang w:val="en-US" w:eastAsia="zh-CN"/>
              </w:rPr>
              <w:t>2</w:t>
            </w:r>
            <w:r>
              <w:rPr>
                <w:rFonts w:hint="eastAsia"/>
              </w:rPr>
              <w:t>分，未提供不得分。</w:t>
            </w:r>
          </w:p>
        </w:tc>
        <w:tc>
          <w:tcPr>
            <w:tcW w:w="883" w:type="dxa"/>
            <w:vMerge w:val="continue"/>
            <w:noWrap w:val="0"/>
            <w:vAlign w:val="center"/>
          </w:tcPr>
          <w:p w14:paraId="0E7A935E">
            <w:pPr>
              <w:spacing w:line="300" w:lineRule="exact"/>
              <w:rPr>
                <w:rFonts w:hint="eastAsia" w:ascii="宋体" w:hAnsi="宋体" w:eastAsia="宋体" w:cs="宋体"/>
                <w:color w:val="auto"/>
                <w:kern w:val="2"/>
                <w:sz w:val="21"/>
                <w:szCs w:val="21"/>
                <w:highlight w:val="none"/>
                <w:lang w:val="en-US" w:eastAsia="zh-CN" w:bidi="ar-SA"/>
              </w:rPr>
            </w:pPr>
          </w:p>
        </w:tc>
      </w:tr>
      <w:tr w14:paraId="76CA9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6" w:hRule="atLeast"/>
          <w:jc w:val="center"/>
        </w:trPr>
        <w:tc>
          <w:tcPr>
            <w:tcW w:w="524" w:type="dxa"/>
            <w:vMerge w:val="continue"/>
            <w:noWrap w:val="0"/>
            <w:vAlign w:val="center"/>
          </w:tcPr>
          <w:p w14:paraId="13DEC84D">
            <w:pPr>
              <w:spacing w:line="300" w:lineRule="exact"/>
              <w:rPr>
                <w:rFonts w:hint="eastAsia" w:ascii="宋体" w:hAnsi="宋体" w:eastAsia="宋体" w:cs="宋体"/>
                <w:color w:val="auto"/>
                <w:kern w:val="2"/>
                <w:sz w:val="21"/>
                <w:szCs w:val="21"/>
                <w:highlight w:val="yellow"/>
                <w:lang w:val="en-US" w:eastAsia="zh-CN" w:bidi="ar-SA"/>
              </w:rPr>
            </w:pPr>
          </w:p>
        </w:tc>
        <w:tc>
          <w:tcPr>
            <w:tcW w:w="2250" w:type="dxa"/>
            <w:noWrap w:val="0"/>
            <w:vAlign w:val="center"/>
          </w:tcPr>
          <w:p w14:paraId="567F9957">
            <w:pPr>
              <w:spacing w:line="300" w:lineRule="exact"/>
              <w:rPr>
                <w:rFonts w:hint="eastAsia" w:ascii="宋体" w:hAnsi="宋体" w:eastAsia="宋体" w:cs="宋体"/>
                <w:color w:val="auto"/>
                <w:kern w:val="2"/>
                <w:sz w:val="21"/>
                <w:szCs w:val="21"/>
                <w:highlight w:val="none"/>
                <w:lang w:val="en-US" w:eastAsia="zh-CN" w:bidi="ar-SA"/>
              </w:rPr>
            </w:pPr>
            <w:r>
              <w:rPr>
                <w:rFonts w:hint="eastAsia"/>
              </w:rPr>
              <w:t>3.3系统功能（15分）</w:t>
            </w:r>
          </w:p>
        </w:tc>
        <w:tc>
          <w:tcPr>
            <w:tcW w:w="5981" w:type="dxa"/>
            <w:noWrap w:val="0"/>
            <w:vAlign w:val="center"/>
          </w:tcPr>
          <w:p w14:paraId="0CEA7D9C">
            <w:pPr>
              <w:spacing w:line="300" w:lineRule="exact"/>
            </w:pPr>
            <w:r>
              <w:rPr>
                <w:rFonts w:hint="eastAsia"/>
              </w:rPr>
              <w:t>完全满足技术文件参数要求的得15分。</w:t>
            </w:r>
          </w:p>
          <w:p w14:paraId="0578FD71">
            <w:pPr>
              <w:spacing w:line="300" w:lineRule="exact"/>
            </w:pPr>
            <w:r>
              <w:rPr>
                <w:rFonts w:hint="eastAsia"/>
              </w:rPr>
              <w:t>☆功能参数1项负偏离扣3分，扣完为止。</w:t>
            </w:r>
          </w:p>
          <w:p w14:paraId="7741CBE4">
            <w:pPr>
              <w:spacing w:line="300" w:lineRule="exact"/>
              <w:rPr>
                <w:rFonts w:hint="eastAsia" w:ascii="宋体" w:hAnsi="宋体" w:eastAsia="宋体" w:cs="宋体"/>
                <w:color w:val="auto"/>
                <w:kern w:val="2"/>
                <w:sz w:val="21"/>
                <w:szCs w:val="21"/>
                <w:highlight w:val="none"/>
                <w:lang w:val="en-US" w:eastAsia="zh-CN" w:bidi="ar-SA"/>
              </w:rPr>
            </w:pPr>
            <w:r>
              <w:rPr>
                <w:rFonts w:hint="eastAsia"/>
              </w:rPr>
              <w:t>招标</w:t>
            </w:r>
            <w:r>
              <w:t>响应文件中须附</w:t>
            </w:r>
            <w:r>
              <w:rPr>
                <w:rFonts w:hint="eastAsia"/>
              </w:rPr>
              <w:t>投标人提供的信息系统截图、方案、合同、证书等相关证明材料</w:t>
            </w:r>
            <w:r>
              <w:t>扫描件</w:t>
            </w:r>
            <w:r>
              <w:rPr>
                <w:rFonts w:hint="eastAsia"/>
              </w:rPr>
              <w:t>。</w:t>
            </w:r>
          </w:p>
        </w:tc>
        <w:tc>
          <w:tcPr>
            <w:tcW w:w="883" w:type="dxa"/>
            <w:vMerge w:val="continue"/>
            <w:noWrap w:val="0"/>
            <w:vAlign w:val="center"/>
          </w:tcPr>
          <w:p w14:paraId="183A44EB">
            <w:pPr>
              <w:spacing w:line="300" w:lineRule="exact"/>
              <w:rPr>
                <w:rFonts w:hint="eastAsia" w:ascii="宋体" w:hAnsi="宋体" w:eastAsia="宋体" w:cs="宋体"/>
                <w:color w:val="auto"/>
                <w:kern w:val="2"/>
                <w:sz w:val="21"/>
                <w:szCs w:val="21"/>
                <w:highlight w:val="none"/>
                <w:lang w:val="en-US" w:eastAsia="zh-CN" w:bidi="ar-SA"/>
              </w:rPr>
            </w:pPr>
          </w:p>
        </w:tc>
      </w:tr>
      <w:tr w14:paraId="36D22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4" w:hRule="atLeast"/>
          <w:jc w:val="center"/>
        </w:trPr>
        <w:tc>
          <w:tcPr>
            <w:tcW w:w="524" w:type="dxa"/>
            <w:vMerge w:val="continue"/>
            <w:noWrap w:val="0"/>
            <w:vAlign w:val="center"/>
          </w:tcPr>
          <w:p w14:paraId="1F94DA2E">
            <w:pPr>
              <w:spacing w:line="300" w:lineRule="exact"/>
              <w:rPr>
                <w:rFonts w:hint="eastAsia" w:ascii="宋体" w:hAnsi="宋体" w:eastAsia="宋体" w:cs="宋体"/>
                <w:color w:val="auto"/>
                <w:kern w:val="2"/>
                <w:sz w:val="21"/>
                <w:szCs w:val="21"/>
                <w:highlight w:val="yellow"/>
                <w:lang w:val="en-US" w:eastAsia="zh-CN" w:bidi="ar-SA"/>
              </w:rPr>
            </w:pPr>
          </w:p>
        </w:tc>
        <w:tc>
          <w:tcPr>
            <w:tcW w:w="2250" w:type="dxa"/>
            <w:vMerge w:val="restart"/>
            <w:noWrap w:val="0"/>
            <w:vAlign w:val="center"/>
          </w:tcPr>
          <w:p w14:paraId="17FBFA71">
            <w:pPr>
              <w:spacing w:line="300" w:lineRule="exact"/>
              <w:rPr>
                <w:rFonts w:hint="eastAsia" w:ascii="宋体" w:hAnsi="宋体" w:eastAsia="宋体" w:cs="宋体"/>
                <w:color w:val="auto"/>
                <w:kern w:val="2"/>
                <w:sz w:val="21"/>
                <w:szCs w:val="21"/>
                <w:highlight w:val="none"/>
                <w:lang w:val="en-US" w:eastAsia="zh-CN" w:bidi="ar-SA"/>
              </w:rPr>
            </w:pPr>
            <w:r>
              <w:t>3.4</w:t>
            </w:r>
            <w:r>
              <w:rPr>
                <w:rFonts w:hint="eastAsia"/>
              </w:rPr>
              <w:t>项目安排（10分）</w:t>
            </w:r>
          </w:p>
        </w:tc>
        <w:tc>
          <w:tcPr>
            <w:tcW w:w="5981" w:type="dxa"/>
            <w:noWrap w:val="0"/>
            <w:vAlign w:val="center"/>
          </w:tcPr>
          <w:p w14:paraId="1A91FF4C">
            <w:pPr>
              <w:spacing w:line="300" w:lineRule="exact"/>
              <w:rPr>
                <w:rFonts w:hint="eastAsia" w:ascii="宋体" w:hAnsi="宋体" w:eastAsia="宋体" w:cs="宋体"/>
                <w:color w:val="auto"/>
                <w:kern w:val="2"/>
                <w:sz w:val="21"/>
                <w:szCs w:val="21"/>
                <w:highlight w:val="none"/>
                <w:lang w:val="en-US" w:eastAsia="zh-CN" w:bidi="ar-SA"/>
              </w:rPr>
            </w:pPr>
            <w:r>
              <w:rPr>
                <w:rFonts w:hint="eastAsia"/>
              </w:rPr>
              <w:t>根据投标人提供的质量及进度相关保障措施，及相关人员配备进行综合评审（要求投标人提供的质量、进度保障措施详细、完善，人员配备情况合理）优得5分，良得3分，一般得1分，未提供不得分。</w:t>
            </w:r>
          </w:p>
        </w:tc>
        <w:tc>
          <w:tcPr>
            <w:tcW w:w="883" w:type="dxa"/>
            <w:vMerge w:val="continue"/>
            <w:noWrap w:val="0"/>
            <w:vAlign w:val="center"/>
          </w:tcPr>
          <w:p w14:paraId="4E44B733">
            <w:pPr>
              <w:spacing w:line="300" w:lineRule="exact"/>
              <w:rPr>
                <w:rFonts w:hint="eastAsia" w:ascii="宋体" w:hAnsi="宋体" w:eastAsia="宋体" w:cs="宋体"/>
                <w:color w:val="auto"/>
                <w:kern w:val="2"/>
                <w:sz w:val="21"/>
                <w:szCs w:val="21"/>
                <w:highlight w:val="none"/>
                <w:lang w:val="en-US" w:eastAsia="zh-CN" w:bidi="ar-SA"/>
              </w:rPr>
            </w:pPr>
          </w:p>
        </w:tc>
      </w:tr>
      <w:tr w14:paraId="58E2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jc w:val="center"/>
        </w:trPr>
        <w:tc>
          <w:tcPr>
            <w:tcW w:w="524" w:type="dxa"/>
            <w:vMerge w:val="continue"/>
            <w:noWrap w:val="0"/>
            <w:vAlign w:val="center"/>
          </w:tcPr>
          <w:p w14:paraId="76B72C09">
            <w:pPr>
              <w:spacing w:line="300" w:lineRule="exact"/>
              <w:rPr>
                <w:rFonts w:hint="eastAsia" w:ascii="宋体" w:hAnsi="宋体" w:eastAsia="宋体" w:cs="宋体"/>
                <w:color w:val="auto"/>
                <w:kern w:val="2"/>
                <w:sz w:val="21"/>
                <w:szCs w:val="21"/>
                <w:highlight w:val="none"/>
                <w:lang w:val="en-US" w:eastAsia="zh-CN" w:bidi="ar-SA"/>
              </w:rPr>
            </w:pPr>
          </w:p>
        </w:tc>
        <w:tc>
          <w:tcPr>
            <w:tcW w:w="2250" w:type="dxa"/>
            <w:vMerge w:val="continue"/>
            <w:noWrap w:val="0"/>
            <w:vAlign w:val="center"/>
          </w:tcPr>
          <w:p w14:paraId="143C075B">
            <w:pPr>
              <w:spacing w:line="300" w:lineRule="exact"/>
              <w:rPr>
                <w:rFonts w:hint="eastAsia" w:ascii="宋体" w:hAnsi="宋体" w:eastAsia="宋体" w:cs="宋体"/>
                <w:color w:val="auto"/>
                <w:kern w:val="2"/>
                <w:sz w:val="21"/>
                <w:szCs w:val="21"/>
                <w:highlight w:val="none"/>
                <w:lang w:val="en-US" w:eastAsia="zh-CN" w:bidi="ar-SA"/>
              </w:rPr>
            </w:pPr>
          </w:p>
        </w:tc>
        <w:tc>
          <w:tcPr>
            <w:tcW w:w="5981" w:type="dxa"/>
            <w:noWrap w:val="0"/>
            <w:vAlign w:val="center"/>
          </w:tcPr>
          <w:p w14:paraId="21054E68">
            <w:pPr>
              <w:spacing w:line="300" w:lineRule="exact"/>
              <w:rPr>
                <w:rFonts w:hint="eastAsia" w:ascii="宋体" w:hAnsi="宋体" w:eastAsia="宋体" w:cs="宋体"/>
                <w:color w:val="auto"/>
                <w:kern w:val="2"/>
                <w:sz w:val="21"/>
                <w:szCs w:val="21"/>
                <w:highlight w:val="none"/>
                <w:lang w:val="en-US" w:eastAsia="zh-CN" w:bidi="ar-SA"/>
              </w:rPr>
            </w:pPr>
            <w:r>
              <w:rPr>
                <w:rFonts w:hint="eastAsia"/>
              </w:rPr>
              <w:t>根据项目实施进度计划安排进行评审（要求实施进度计划安排完整、满足建设需要和周期要求），优得5分；良得3分；一般得1分；未提供不得分。</w:t>
            </w:r>
          </w:p>
        </w:tc>
        <w:tc>
          <w:tcPr>
            <w:tcW w:w="883" w:type="dxa"/>
            <w:vMerge w:val="continue"/>
            <w:noWrap w:val="0"/>
            <w:vAlign w:val="center"/>
          </w:tcPr>
          <w:p w14:paraId="6FCBE42C">
            <w:pPr>
              <w:spacing w:line="300" w:lineRule="exact"/>
              <w:rPr>
                <w:rFonts w:hint="eastAsia" w:ascii="宋体" w:hAnsi="宋体" w:eastAsia="宋体" w:cs="宋体"/>
                <w:color w:val="auto"/>
                <w:kern w:val="2"/>
                <w:sz w:val="21"/>
                <w:szCs w:val="21"/>
                <w:highlight w:val="none"/>
                <w:lang w:val="en-US" w:eastAsia="zh-CN" w:bidi="ar-SA"/>
              </w:rPr>
            </w:pPr>
          </w:p>
        </w:tc>
      </w:tr>
      <w:tr w14:paraId="1EF2B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62" w:hRule="atLeast"/>
          <w:jc w:val="center"/>
        </w:trPr>
        <w:tc>
          <w:tcPr>
            <w:tcW w:w="524" w:type="dxa"/>
            <w:vMerge w:val="continue"/>
            <w:noWrap w:val="0"/>
            <w:vAlign w:val="center"/>
          </w:tcPr>
          <w:p w14:paraId="7E4430F1">
            <w:pPr>
              <w:spacing w:line="300" w:lineRule="exact"/>
              <w:rPr>
                <w:rFonts w:hint="eastAsia" w:ascii="宋体" w:hAnsi="宋体" w:eastAsia="宋体" w:cs="宋体"/>
                <w:color w:val="auto"/>
                <w:kern w:val="2"/>
                <w:sz w:val="21"/>
                <w:szCs w:val="21"/>
                <w:highlight w:val="none"/>
                <w:lang w:val="en-US" w:eastAsia="zh-CN" w:bidi="ar-SA"/>
              </w:rPr>
            </w:pPr>
          </w:p>
        </w:tc>
        <w:tc>
          <w:tcPr>
            <w:tcW w:w="2250" w:type="dxa"/>
            <w:noWrap w:val="0"/>
            <w:vAlign w:val="center"/>
          </w:tcPr>
          <w:p w14:paraId="4A9751C5">
            <w:pPr>
              <w:spacing w:line="300" w:lineRule="exact"/>
              <w:rPr>
                <w:rFonts w:hint="eastAsia" w:ascii="宋体" w:hAnsi="宋体" w:eastAsia="宋体" w:cs="宋体"/>
                <w:color w:val="auto"/>
                <w:kern w:val="2"/>
                <w:sz w:val="21"/>
                <w:szCs w:val="21"/>
                <w:highlight w:val="none"/>
                <w:lang w:val="en-US" w:eastAsia="zh-CN" w:bidi="ar-SA"/>
              </w:rPr>
            </w:pPr>
            <w:r>
              <w:rPr>
                <w:rFonts w:hint="eastAsia"/>
              </w:rPr>
              <w:t>3.</w:t>
            </w:r>
            <w:r>
              <w:t>5</w:t>
            </w:r>
            <w:r>
              <w:rPr>
                <w:rFonts w:hint="eastAsia"/>
              </w:rPr>
              <w:t>服务承诺及措施（5分）</w:t>
            </w:r>
          </w:p>
        </w:tc>
        <w:tc>
          <w:tcPr>
            <w:tcW w:w="5981" w:type="dxa"/>
            <w:noWrap w:val="0"/>
            <w:vAlign w:val="center"/>
          </w:tcPr>
          <w:p w14:paraId="18E6E083">
            <w:pPr>
              <w:spacing w:line="300" w:lineRule="exact"/>
            </w:pPr>
            <w:r>
              <w:rPr>
                <w:rFonts w:hint="eastAsia"/>
              </w:rPr>
              <w:t>投标人保证项目实施达到预期目标，提供项目管理及实施方案，对实施人员分工、项目计划和进度，对系统的供货、安装调试、验收和应用系统上线等进行合理安排和规划。评委根据投标方案内容进行酌情打分。</w:t>
            </w:r>
          </w:p>
          <w:p w14:paraId="27BD1FC7">
            <w:pPr>
              <w:spacing w:line="300" w:lineRule="exact"/>
            </w:pPr>
            <w:r>
              <w:rPr>
                <w:rFonts w:hint="eastAsia"/>
              </w:rPr>
              <w:t>具有详细的售后服务承诺，且具有完善的售后服务方案和培训方案的得5分；</w:t>
            </w:r>
          </w:p>
          <w:p w14:paraId="634A8DB1">
            <w:pPr>
              <w:spacing w:line="300" w:lineRule="exact"/>
            </w:pPr>
            <w:r>
              <w:rPr>
                <w:rFonts w:hint="eastAsia"/>
              </w:rPr>
              <w:t>售后服务承诺及方案基本可行的得3分；</w:t>
            </w:r>
          </w:p>
          <w:p w14:paraId="31D1BA5F">
            <w:pPr>
              <w:spacing w:line="300" w:lineRule="exact"/>
              <w:rPr>
                <w:rFonts w:hint="eastAsia" w:ascii="宋体" w:hAnsi="宋体" w:eastAsia="宋体" w:cs="宋体"/>
                <w:color w:val="auto"/>
                <w:kern w:val="2"/>
                <w:sz w:val="21"/>
                <w:szCs w:val="21"/>
                <w:highlight w:val="none"/>
                <w:lang w:val="en-US" w:eastAsia="zh-CN" w:bidi="ar-SA"/>
              </w:rPr>
            </w:pPr>
            <w:r>
              <w:rPr>
                <w:rFonts w:hint="eastAsia"/>
              </w:rPr>
              <w:t>售后服务承诺及方案较粗略，可行性较差的得</w:t>
            </w:r>
            <w:r>
              <w:t>1</w:t>
            </w:r>
            <w:r>
              <w:rPr>
                <w:rFonts w:hint="eastAsia"/>
              </w:rPr>
              <w:t>分；</w:t>
            </w:r>
          </w:p>
        </w:tc>
        <w:tc>
          <w:tcPr>
            <w:tcW w:w="883" w:type="dxa"/>
            <w:vMerge w:val="continue"/>
            <w:noWrap w:val="0"/>
            <w:vAlign w:val="center"/>
          </w:tcPr>
          <w:p w14:paraId="4C142E3E">
            <w:pPr>
              <w:spacing w:line="300" w:lineRule="exact"/>
              <w:rPr>
                <w:rFonts w:hint="eastAsia" w:ascii="宋体" w:hAnsi="宋体" w:eastAsia="宋体" w:cs="宋体"/>
                <w:color w:val="auto"/>
                <w:kern w:val="2"/>
                <w:sz w:val="21"/>
                <w:szCs w:val="21"/>
                <w:highlight w:val="none"/>
                <w:lang w:val="en-US" w:eastAsia="zh-CN" w:bidi="ar-SA"/>
              </w:rPr>
            </w:pPr>
          </w:p>
        </w:tc>
      </w:tr>
    </w:tbl>
    <w:p w14:paraId="6A61D78C">
      <w:pPr>
        <w:adjustRightInd w:val="0"/>
        <w:snapToGrid w:val="0"/>
        <w:spacing w:line="360" w:lineRule="auto"/>
        <w:rPr>
          <w:rFonts w:hint="eastAsia" w:ascii="宋体" w:hAnsi="宋体"/>
          <w:sz w:val="28"/>
          <w:szCs w:val="28"/>
        </w:rPr>
      </w:pPr>
      <w:bookmarkStart w:id="1" w:name="_GoBack"/>
      <w:bookmarkEnd w:id="1"/>
    </w:p>
    <w:p w14:paraId="315E26C4">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三、定标</w:t>
      </w:r>
    </w:p>
    <w:p w14:paraId="7C679148">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评标结束后，招标人向中标方发通知，招</w:t>
      </w:r>
      <w:r>
        <w:rPr>
          <w:rFonts w:hint="eastAsia" w:ascii="宋体" w:hAnsi="宋体"/>
          <w:sz w:val="28"/>
          <w:szCs w:val="28"/>
          <w:lang w:eastAsia="zh-CN"/>
        </w:rPr>
        <w:t>标</w:t>
      </w:r>
      <w:r>
        <w:rPr>
          <w:rFonts w:hint="eastAsia" w:ascii="宋体" w:hAnsi="宋体"/>
          <w:sz w:val="28"/>
          <w:szCs w:val="28"/>
        </w:rPr>
        <w:t>人对落标方不做落标原因解释。</w:t>
      </w:r>
    </w:p>
    <w:p w14:paraId="2ED5E33C">
      <w:pPr>
        <w:adjustRightInd w:val="0"/>
        <w:snapToGrid w:val="0"/>
        <w:spacing w:line="360" w:lineRule="auto"/>
        <w:jc w:val="center"/>
        <w:rPr>
          <w:rFonts w:hint="eastAsia" w:ascii="宋体" w:hAnsi="宋体"/>
          <w:b/>
          <w:sz w:val="32"/>
          <w:szCs w:val="32"/>
        </w:rPr>
      </w:pPr>
      <w:r>
        <w:rPr>
          <w:rFonts w:hint="eastAsia" w:ascii="宋体" w:hAnsi="宋体"/>
          <w:b/>
          <w:sz w:val="32"/>
          <w:szCs w:val="32"/>
        </w:rPr>
        <w:t>第四部分  签定合同</w:t>
      </w:r>
    </w:p>
    <w:p w14:paraId="026BC515">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中标公示期满后五个工作日内，由招标人与中标人签定合同。合同的内容以投标文件和最终投标的价格为准。</w:t>
      </w:r>
    </w:p>
    <w:p w14:paraId="4259CCAD">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rPr>
        <w:t>合同为一式</w:t>
      </w:r>
      <w:r>
        <w:rPr>
          <w:rFonts w:hint="eastAsia" w:ascii="宋体" w:hAnsi="宋体"/>
          <w:sz w:val="28"/>
          <w:szCs w:val="28"/>
          <w:lang w:eastAsia="zh-CN"/>
        </w:rPr>
        <w:t>四</w:t>
      </w:r>
      <w:r>
        <w:rPr>
          <w:rFonts w:hint="eastAsia" w:ascii="宋体" w:hAnsi="宋体"/>
          <w:sz w:val="28"/>
          <w:szCs w:val="28"/>
        </w:rPr>
        <w:t>份，招标人二份，</w:t>
      </w:r>
      <w:r>
        <w:rPr>
          <w:rFonts w:hint="eastAsia" w:ascii="宋体" w:hAnsi="宋体"/>
          <w:sz w:val="28"/>
          <w:szCs w:val="28"/>
          <w:lang w:eastAsia="zh-CN"/>
        </w:rPr>
        <w:t>中</w:t>
      </w:r>
      <w:r>
        <w:rPr>
          <w:rFonts w:hint="eastAsia" w:ascii="宋体" w:hAnsi="宋体"/>
          <w:sz w:val="28"/>
          <w:szCs w:val="28"/>
        </w:rPr>
        <w:t>标人</w:t>
      </w:r>
      <w:r>
        <w:rPr>
          <w:rFonts w:hint="eastAsia" w:ascii="宋体" w:hAnsi="宋体"/>
          <w:sz w:val="28"/>
          <w:szCs w:val="28"/>
          <w:lang w:eastAsia="zh-CN"/>
        </w:rPr>
        <w:t>二</w:t>
      </w:r>
      <w:r>
        <w:rPr>
          <w:rFonts w:hint="eastAsia" w:ascii="宋体" w:hAnsi="宋体"/>
          <w:sz w:val="28"/>
          <w:szCs w:val="28"/>
        </w:rPr>
        <w:t>份，招标人与中标人签字盖单后生效。</w:t>
      </w:r>
    </w:p>
    <w:p w14:paraId="01775E44">
      <w:pPr>
        <w:adjustRightInd w:val="0"/>
        <w:snapToGrid w:val="0"/>
        <w:spacing w:line="360" w:lineRule="auto"/>
        <w:jc w:val="center"/>
        <w:rPr>
          <w:rFonts w:hint="eastAsia" w:ascii="宋体" w:hAnsi="宋体"/>
          <w:b/>
          <w:sz w:val="32"/>
          <w:szCs w:val="32"/>
        </w:rPr>
      </w:pPr>
      <w:r>
        <w:rPr>
          <w:rFonts w:hint="eastAsia" w:ascii="宋体" w:hAnsi="宋体"/>
          <w:b/>
          <w:sz w:val="32"/>
          <w:szCs w:val="32"/>
        </w:rPr>
        <w:t>第五部分  付款方式说明</w:t>
      </w:r>
    </w:p>
    <w:p w14:paraId="5E3E9A43">
      <w:pPr>
        <w:adjustRightInd w:val="0"/>
        <w:snapToGrid w:val="0"/>
        <w:spacing w:line="360" w:lineRule="auto"/>
        <w:ind w:firstLine="560" w:firstLineChars="200"/>
        <w:rPr>
          <w:rFonts w:hint="eastAsia" w:ascii="宋体" w:hAnsi="宋体"/>
          <w:sz w:val="28"/>
          <w:szCs w:val="28"/>
        </w:rPr>
      </w:pPr>
      <w:r>
        <w:rPr>
          <w:rFonts w:hint="eastAsia" w:ascii="宋体" w:hAnsi="宋体"/>
          <w:sz w:val="28"/>
          <w:szCs w:val="28"/>
          <w:lang w:eastAsia="zh-CN"/>
        </w:rPr>
        <w:t>合同签订后叁个月内支付乙方全额服务费</w:t>
      </w:r>
      <w:r>
        <w:rPr>
          <w:rFonts w:hint="eastAsia" w:ascii="宋体" w:hAnsi="宋体"/>
          <w:sz w:val="28"/>
          <w:szCs w:val="28"/>
        </w:rPr>
        <w:t>。</w:t>
      </w:r>
    </w:p>
    <w:p w14:paraId="53E28EFC">
      <w:pPr>
        <w:ind w:firstLine="2520" w:firstLineChars="900"/>
        <w:jc w:val="right"/>
        <w:rPr>
          <w:rFonts w:hint="eastAsia" w:ascii="宋体" w:hAnsi="宋体"/>
          <w:sz w:val="28"/>
          <w:szCs w:val="28"/>
        </w:rPr>
      </w:pPr>
    </w:p>
    <w:p w14:paraId="392767CD">
      <w:pPr>
        <w:ind w:firstLine="2520" w:firstLineChars="900"/>
        <w:jc w:val="right"/>
        <w:rPr>
          <w:rFonts w:hint="eastAsia" w:ascii="宋体" w:hAnsi="宋体"/>
          <w:sz w:val="28"/>
          <w:szCs w:val="28"/>
        </w:rPr>
      </w:pPr>
    </w:p>
    <w:p w14:paraId="1C20D045">
      <w:pPr>
        <w:rPr>
          <w:rFonts w:hint="eastAsia" w:ascii="宋体" w:hAnsi="宋体"/>
          <w:sz w:val="28"/>
          <w:szCs w:val="28"/>
        </w:rPr>
      </w:pPr>
    </w:p>
    <w:p w14:paraId="018BD39F">
      <w:pPr>
        <w:ind w:firstLine="4900" w:firstLineChars="1750"/>
        <w:rPr>
          <w:rFonts w:hint="eastAsia" w:ascii="宋体" w:hAnsi="宋体"/>
          <w:sz w:val="28"/>
          <w:szCs w:val="28"/>
        </w:rPr>
      </w:pPr>
      <w:r>
        <w:rPr>
          <w:rFonts w:hint="eastAsia" w:ascii="宋体" w:hAnsi="宋体"/>
          <w:sz w:val="28"/>
          <w:szCs w:val="28"/>
        </w:rPr>
        <w:t xml:space="preserve">               </w:t>
      </w:r>
    </w:p>
    <w:p w14:paraId="61C5222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3E337891"/>
    <w:multiLevelType w:val="multilevel"/>
    <w:tmpl w:val="3E33789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000000"/>
    <w:rsid w:val="00755DF0"/>
    <w:rsid w:val="00A12741"/>
    <w:rsid w:val="00CE3F67"/>
    <w:rsid w:val="014D4677"/>
    <w:rsid w:val="01EC20E2"/>
    <w:rsid w:val="022C6982"/>
    <w:rsid w:val="02C866AB"/>
    <w:rsid w:val="05950887"/>
    <w:rsid w:val="061666A3"/>
    <w:rsid w:val="06A74829"/>
    <w:rsid w:val="06FF6413"/>
    <w:rsid w:val="082F4AD6"/>
    <w:rsid w:val="086C1887"/>
    <w:rsid w:val="088210AA"/>
    <w:rsid w:val="09320F20"/>
    <w:rsid w:val="096B5FE2"/>
    <w:rsid w:val="0AA25A34"/>
    <w:rsid w:val="0AF73FD1"/>
    <w:rsid w:val="0B352404"/>
    <w:rsid w:val="0B3E35EA"/>
    <w:rsid w:val="0C692CAD"/>
    <w:rsid w:val="0C8573BB"/>
    <w:rsid w:val="0CCF6888"/>
    <w:rsid w:val="0CEE31B2"/>
    <w:rsid w:val="0F615EBD"/>
    <w:rsid w:val="0F7038C5"/>
    <w:rsid w:val="0FDA17CC"/>
    <w:rsid w:val="101C1DE4"/>
    <w:rsid w:val="11203B56"/>
    <w:rsid w:val="11F272A1"/>
    <w:rsid w:val="134C478E"/>
    <w:rsid w:val="136A7D0A"/>
    <w:rsid w:val="13826402"/>
    <w:rsid w:val="14C51026"/>
    <w:rsid w:val="16D57191"/>
    <w:rsid w:val="174435F7"/>
    <w:rsid w:val="174A36DB"/>
    <w:rsid w:val="19B968F6"/>
    <w:rsid w:val="1A78055F"/>
    <w:rsid w:val="1AA2382E"/>
    <w:rsid w:val="1B754A9E"/>
    <w:rsid w:val="1C0C0F5F"/>
    <w:rsid w:val="1CE82D65"/>
    <w:rsid w:val="1D266050"/>
    <w:rsid w:val="1D295B40"/>
    <w:rsid w:val="1D303373"/>
    <w:rsid w:val="1D4D182F"/>
    <w:rsid w:val="1DF0665E"/>
    <w:rsid w:val="1E4A2212"/>
    <w:rsid w:val="1F5F247E"/>
    <w:rsid w:val="1F971487"/>
    <w:rsid w:val="1FC658C9"/>
    <w:rsid w:val="1FCF6E73"/>
    <w:rsid w:val="20717F2A"/>
    <w:rsid w:val="21090163"/>
    <w:rsid w:val="210E7527"/>
    <w:rsid w:val="21354AB4"/>
    <w:rsid w:val="21617F9F"/>
    <w:rsid w:val="2297397D"/>
    <w:rsid w:val="23111551"/>
    <w:rsid w:val="243C084F"/>
    <w:rsid w:val="24671DD5"/>
    <w:rsid w:val="24C90335"/>
    <w:rsid w:val="26A5092E"/>
    <w:rsid w:val="27391076"/>
    <w:rsid w:val="27F82CDF"/>
    <w:rsid w:val="29543F45"/>
    <w:rsid w:val="2B2C33CC"/>
    <w:rsid w:val="2BC03B14"/>
    <w:rsid w:val="2C695F59"/>
    <w:rsid w:val="2CF97E1A"/>
    <w:rsid w:val="2E642E7C"/>
    <w:rsid w:val="2F120B2A"/>
    <w:rsid w:val="2FDB53C0"/>
    <w:rsid w:val="305A4537"/>
    <w:rsid w:val="30D37E45"/>
    <w:rsid w:val="31CB6D6E"/>
    <w:rsid w:val="31F42769"/>
    <w:rsid w:val="324C4353"/>
    <w:rsid w:val="33AB50A9"/>
    <w:rsid w:val="34452E08"/>
    <w:rsid w:val="34F565DC"/>
    <w:rsid w:val="353A4937"/>
    <w:rsid w:val="367C4ADB"/>
    <w:rsid w:val="36A007CA"/>
    <w:rsid w:val="37712166"/>
    <w:rsid w:val="38033706"/>
    <w:rsid w:val="38390ED6"/>
    <w:rsid w:val="38555446"/>
    <w:rsid w:val="38D46E50"/>
    <w:rsid w:val="38FA68B7"/>
    <w:rsid w:val="393618B9"/>
    <w:rsid w:val="39406294"/>
    <w:rsid w:val="39F07CBA"/>
    <w:rsid w:val="3A2A31CC"/>
    <w:rsid w:val="3AB46F3A"/>
    <w:rsid w:val="3B0C11F5"/>
    <w:rsid w:val="3B556027"/>
    <w:rsid w:val="3C3519B4"/>
    <w:rsid w:val="3CE8111C"/>
    <w:rsid w:val="3CF25AF7"/>
    <w:rsid w:val="3D931088"/>
    <w:rsid w:val="3DD35929"/>
    <w:rsid w:val="3DEB0EC4"/>
    <w:rsid w:val="3E3F4D6C"/>
    <w:rsid w:val="3F00274D"/>
    <w:rsid w:val="405E3BCF"/>
    <w:rsid w:val="414C7ECC"/>
    <w:rsid w:val="41E1467A"/>
    <w:rsid w:val="41E67852"/>
    <w:rsid w:val="42332E3A"/>
    <w:rsid w:val="42B07205"/>
    <w:rsid w:val="42DA32B5"/>
    <w:rsid w:val="42F02AD9"/>
    <w:rsid w:val="43C867AC"/>
    <w:rsid w:val="44446348"/>
    <w:rsid w:val="44FA7C3F"/>
    <w:rsid w:val="45D97854"/>
    <w:rsid w:val="46971BE9"/>
    <w:rsid w:val="49060960"/>
    <w:rsid w:val="4B667DDC"/>
    <w:rsid w:val="4B771FE9"/>
    <w:rsid w:val="4B7F49FA"/>
    <w:rsid w:val="4BDA60D4"/>
    <w:rsid w:val="4C4D68A6"/>
    <w:rsid w:val="4FB01626"/>
    <w:rsid w:val="51121E6C"/>
    <w:rsid w:val="520143BB"/>
    <w:rsid w:val="527252B8"/>
    <w:rsid w:val="54120B01"/>
    <w:rsid w:val="55410F72"/>
    <w:rsid w:val="55B9036F"/>
    <w:rsid w:val="55C53951"/>
    <w:rsid w:val="55E22755"/>
    <w:rsid w:val="56023592"/>
    <w:rsid w:val="56496330"/>
    <w:rsid w:val="56BA1A91"/>
    <w:rsid w:val="574F4DF1"/>
    <w:rsid w:val="575D6537"/>
    <w:rsid w:val="57FB5D50"/>
    <w:rsid w:val="58003366"/>
    <w:rsid w:val="587F6039"/>
    <w:rsid w:val="59401C6C"/>
    <w:rsid w:val="59AA17DC"/>
    <w:rsid w:val="5A1E5F89"/>
    <w:rsid w:val="5B8F6EDB"/>
    <w:rsid w:val="5CA471A4"/>
    <w:rsid w:val="5E0A0A9B"/>
    <w:rsid w:val="5E127950"/>
    <w:rsid w:val="5EB804F7"/>
    <w:rsid w:val="5F3C2ED6"/>
    <w:rsid w:val="60003F04"/>
    <w:rsid w:val="60310561"/>
    <w:rsid w:val="60D3786A"/>
    <w:rsid w:val="617D135E"/>
    <w:rsid w:val="619C1A0A"/>
    <w:rsid w:val="621F43E9"/>
    <w:rsid w:val="626C3AD2"/>
    <w:rsid w:val="63750765"/>
    <w:rsid w:val="644A561F"/>
    <w:rsid w:val="648275DD"/>
    <w:rsid w:val="649B069F"/>
    <w:rsid w:val="64D63485"/>
    <w:rsid w:val="655D3BA6"/>
    <w:rsid w:val="67C55978"/>
    <w:rsid w:val="68BB1E33"/>
    <w:rsid w:val="691B0000"/>
    <w:rsid w:val="69EA352F"/>
    <w:rsid w:val="6A1F76BD"/>
    <w:rsid w:val="6B07083C"/>
    <w:rsid w:val="6C0C1E82"/>
    <w:rsid w:val="6C830396"/>
    <w:rsid w:val="6CE60925"/>
    <w:rsid w:val="6D486EEA"/>
    <w:rsid w:val="6DED07A9"/>
    <w:rsid w:val="6DF1132F"/>
    <w:rsid w:val="6E082895"/>
    <w:rsid w:val="6E3B6A4F"/>
    <w:rsid w:val="6E8D2AF8"/>
    <w:rsid w:val="6E983DCC"/>
    <w:rsid w:val="6EDF25A7"/>
    <w:rsid w:val="6F55769C"/>
    <w:rsid w:val="70980188"/>
    <w:rsid w:val="7113730F"/>
    <w:rsid w:val="717464FF"/>
    <w:rsid w:val="71A32941"/>
    <w:rsid w:val="71B44B4E"/>
    <w:rsid w:val="721B697B"/>
    <w:rsid w:val="727E5CD6"/>
    <w:rsid w:val="73697BBA"/>
    <w:rsid w:val="73B726D3"/>
    <w:rsid w:val="7682346D"/>
    <w:rsid w:val="76B33626"/>
    <w:rsid w:val="76D57A40"/>
    <w:rsid w:val="77316C41"/>
    <w:rsid w:val="77947842"/>
    <w:rsid w:val="78202F3D"/>
    <w:rsid w:val="786848E4"/>
    <w:rsid w:val="7872111D"/>
    <w:rsid w:val="78B20ADE"/>
    <w:rsid w:val="7A0F14BB"/>
    <w:rsid w:val="7AA5772A"/>
    <w:rsid w:val="7B810197"/>
    <w:rsid w:val="7BC41E31"/>
    <w:rsid w:val="7CE502B1"/>
    <w:rsid w:val="7E000C9C"/>
    <w:rsid w:val="7E494870"/>
    <w:rsid w:val="7F0412EC"/>
    <w:rsid w:val="7FC061BE"/>
    <w:rsid w:val="7FD50AB1"/>
    <w:rsid w:val="7FDA3FCF"/>
    <w:rsid w:val="7FF13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spacing w:line="380" w:lineRule="exact"/>
      <w:jc w:val="center"/>
      <w:outlineLvl w:val="0"/>
    </w:pPr>
    <w:rPr>
      <w:rFonts w:ascii="宋体"/>
      <w:b/>
      <w:bCs/>
      <w:sz w:val="28"/>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sz w:val="28"/>
    </w:rPr>
  </w:style>
  <w:style w:type="paragraph" w:styleId="3">
    <w:name w:val="Body Text First Indent"/>
    <w:basedOn w:val="2"/>
    <w:autoRedefine/>
    <w:qFormat/>
    <w:uiPriority w:val="0"/>
    <w:pPr>
      <w:ind w:firstLine="100" w:firstLineChars="100"/>
    </w:pPr>
  </w:style>
  <w:style w:type="paragraph" w:styleId="5">
    <w:name w:val="Plain Text"/>
    <w:basedOn w:val="1"/>
    <w:next w:val="6"/>
    <w:autoRedefine/>
    <w:qFormat/>
    <w:uiPriority w:val="0"/>
    <w:pPr>
      <w:spacing w:before="156" w:beforeLines="50" w:after="156" w:afterLines="50" w:line="400" w:lineRule="exact"/>
    </w:pPr>
    <w:rPr>
      <w:rFonts w:ascii="宋体" w:hAnsi="Courier New"/>
      <w:sz w:val="24"/>
    </w:rPr>
  </w:style>
  <w:style w:type="paragraph" w:styleId="6">
    <w:name w:val="toc 2"/>
    <w:basedOn w:val="1"/>
    <w:next w:val="1"/>
    <w:autoRedefine/>
    <w:qFormat/>
    <w:uiPriority w:val="39"/>
    <w:pPr>
      <w:ind w:left="420" w:leftChars="200"/>
    </w:pPr>
    <w:rPr>
      <w:rFonts w:ascii="Calibri" w:hAnsi="Calibri"/>
      <w:szCs w:val="22"/>
    </w:rPr>
  </w:style>
  <w:style w:type="character" w:customStyle="1" w:styleId="9">
    <w:name w:val="font21"/>
    <w:basedOn w:val="8"/>
    <w:qFormat/>
    <w:uiPriority w:val="0"/>
    <w:rPr>
      <w:rFonts w:hint="eastAsia" w:ascii="宋体" w:hAnsi="宋体" w:eastAsia="宋体" w:cs="宋体"/>
      <w:color w:val="000000"/>
      <w:sz w:val="20"/>
      <w:szCs w:val="20"/>
      <w:u w:val="none"/>
    </w:rPr>
  </w:style>
  <w:style w:type="character" w:customStyle="1" w:styleId="10">
    <w:name w:val="font01"/>
    <w:basedOn w:val="8"/>
    <w:autoRedefine/>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6181</Words>
  <Characters>6425</Characters>
  <Lines>0</Lines>
  <Paragraphs>0</Paragraphs>
  <TotalTime>38</TotalTime>
  <ScaleCrop>false</ScaleCrop>
  <LinksUpToDate>false</LinksUpToDate>
  <CharactersWithSpaces>6504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2023-08-30T17:34:00Z</dcterms:created>
  <dc:creator>Administrator</dc:creator>
  <cp:lastModifiedBy>WPS_1623391591</cp:lastModifiedBy>
  <dcterms:modified xsi:type="dcterms:W3CDTF">2025-04-10T02:38:20Z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44E8103CC76C4B69A342FB49EB01197D_12</vt:lpwstr>
  </property>
  <property fmtid="{D5CDD505-2E9C-101B-9397-08002B2CF9AE}" pid="4" name="KSOTemplateDocerSaveRecord">
    <vt:lpwstr>eyJoZGlkIjoiMjYxYjljZTIyMDBlZjM5OWZiNzM5YWFmOGNjZDNkM2MiLCJ1c2VySWQiOiIxMjE1Nzg1Mzg1In0=</vt:lpwstr>
  </property>
</Properties>
</file>