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color="auto" w:fill="FDFCF3"/>
        <w:spacing w:before="0" w:beforeAutospacing="0" w:after="0" w:afterAutospacing="0"/>
        <w:ind w:left="0" w:right="0" w:firstLine="56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shd w:val="clear" w:color="auto" w:fill="FDFCF3"/>
          <w:lang w:val="en-US" w:eastAsia="zh-CN" w:bidi="ar"/>
        </w:rPr>
      </w:pPr>
      <w:bookmarkStart w:id="0" w:name="_GoBack"/>
      <w:r>
        <w:rPr>
          <w:rFonts w:hint="eastAsia" w:ascii="宋体" w:hAnsi="宋体" w:cs="宋体"/>
          <w:i w:val="0"/>
          <w:caps w:val="0"/>
          <w:color w:val="000000"/>
          <w:spacing w:val="0"/>
          <w:kern w:val="0"/>
          <w:sz w:val="28"/>
          <w:szCs w:val="28"/>
          <w:shd w:val="clear" w:color="auto" w:fill="FDFCF3"/>
          <w:lang w:val="en-US" w:eastAsia="zh-CN" w:bidi="ar"/>
        </w:rPr>
        <w:t>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FDFCF3"/>
        </w:rPr>
        <w:t>0</w:t>
      </w:r>
      <w:r>
        <w:rPr>
          <w:rFonts w:hint="eastAsia" w:ascii="宋体" w:hAnsi="宋体" w:cs="宋体"/>
          <w:i w:val="0"/>
          <w:caps w:val="0"/>
          <w:color w:val="000000"/>
          <w:spacing w:val="0"/>
          <w:sz w:val="28"/>
          <w:szCs w:val="28"/>
          <w:shd w:val="clear" w:color="auto" w:fill="FDFCF3"/>
          <w:lang w:val="en-US" w:eastAsia="zh-CN"/>
        </w:rPr>
        <w:t>21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FDFCF3"/>
        </w:rPr>
        <w:t>年春季展会</w:t>
      </w:r>
      <w:r>
        <w:rPr>
          <w:rFonts w:hint="eastAsia" w:ascii="宋体" w:hAnsi="宋体" w:cs="宋体"/>
          <w:i w:val="0"/>
          <w:caps w:val="0"/>
          <w:color w:val="000000"/>
          <w:spacing w:val="0"/>
          <w:sz w:val="28"/>
          <w:szCs w:val="28"/>
          <w:shd w:val="clear" w:color="auto" w:fill="FDFCF3"/>
          <w:lang w:val="en-US" w:eastAsia="zh-CN"/>
        </w:rPr>
        <w:t>(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FDFCF3"/>
        </w:rPr>
        <w:t>台州市中医院</w:t>
      </w:r>
      <w:r>
        <w:rPr>
          <w:rFonts w:hint="eastAsia" w:ascii="宋体" w:hAnsi="宋体" w:cs="宋体"/>
          <w:i w:val="0"/>
          <w:caps w:val="0"/>
          <w:color w:val="000000"/>
          <w:spacing w:val="0"/>
          <w:sz w:val="28"/>
          <w:szCs w:val="28"/>
          <w:shd w:val="clear" w:color="auto" w:fill="FDFCF3"/>
          <w:lang w:val="en-US" w:eastAsia="zh-CN"/>
        </w:rPr>
        <w:t>)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color="auto" w:fill="FDFCF3"/>
        </w:rPr>
        <w:t>医疗设备拟采购计划</w:t>
      </w:r>
      <w:bookmarkEnd w:id="0"/>
    </w:p>
    <w:tbl>
      <w:tblPr>
        <w:tblStyle w:val="3"/>
        <w:tblpPr w:leftFromText="180" w:rightFromText="180" w:vertAnchor="text" w:horzAnchor="page" w:tblpXSpec="center" w:tblpYSpec="outside"/>
        <w:tblOverlap w:val="never"/>
        <w:tblW w:w="83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363"/>
        <w:gridCol w:w="808"/>
        <w:gridCol w:w="716"/>
        <w:gridCol w:w="1179"/>
        <w:gridCol w:w="1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  <w:t>预算（万）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手术无影灯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电动手术床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手术床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电子直乙肠内窥镜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生命体征智能信息采集终端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分钟步行实验检测分析系统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  <w:t>台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睡眠监测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诊查床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担架车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口内X射线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手术用头架及牵开系统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多频振动排痰仪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超声雾化中药熏洗仪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双频超声波治疗仪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6.75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低频电子脉冲治疗仪（温热式低周波）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红外线热成像仪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尿流动力学检测仪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肺功能仪（通气+残气弥散+一体化激发）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支气管镜冷冻治疗仪器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大便分析仪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特定蛋白分析仪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胃肠镜机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铅防护屏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5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color="auto" w:fill="FDFCF3"/>
                <w:vertAlign w:val="baseline"/>
                <w:lang w:val="en-US" w:eastAsia="zh-CN" w:bidi="ar"/>
              </w:rPr>
            </w:pPr>
          </w:p>
        </w:tc>
      </w:tr>
    </w:tbl>
    <w:p>
      <w:pPr>
        <w:rPr>
          <w:rFonts w:hint="eastAsia" w:eastAsia="宋体"/>
          <w:lang w:eastAsia="zh-CN"/>
        </w:rPr>
      </w:pPr>
      <w:r>
        <w:rPr>
          <w:rFonts w:hint="eastAsia"/>
          <w:sz w:val="24"/>
          <w:szCs w:val="24"/>
          <w:lang w:eastAsia="zh-CN"/>
        </w:rPr>
        <w:t>注：预算是总金额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4B5A3F"/>
    <w:rsid w:val="5B4B5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2021-04-06T03:41:00Z</dcterms:created>
  <dc:creator>Timerserver</dc:creator>
  <cp:lastModifiedBy>Timerserver</cp:lastModifiedBy>
  <dcterms:modified xsi:type="dcterms:W3CDTF">2021-04-06T03:42:05Z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B8B26708B34349DBA9EB3E253C331431</vt:lpwstr>
  </property>
</Properties>
</file>