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FDB69">
      <w:pPr>
        <w:spacing w:before="156" w:beforeLines="50"/>
        <w:jc w:val="right"/>
        <w:rPr>
          <w:rFonts w:hint="eastAsia" w:ascii="宋体" w:hAnsi="宋体" w:eastAsia="宋体"/>
          <w:b/>
          <w:bCs/>
          <w:sz w:val="48"/>
          <w:szCs w:val="52"/>
          <w:lang w:val="en-US" w:eastAsia="zh-CN"/>
        </w:rPr>
      </w:pPr>
    </w:p>
    <w:p w14:paraId="10B6566D">
      <w:pPr>
        <w:spacing w:before="156" w:beforeLines="50"/>
        <w:jc w:val="right"/>
        <w:rPr>
          <w:rFonts w:ascii="宋体" w:hAnsi="宋体"/>
          <w:b/>
          <w:bCs/>
          <w:sz w:val="48"/>
          <w:szCs w:val="52"/>
        </w:rPr>
      </w:pPr>
    </w:p>
    <w:p w14:paraId="37CF0DB9">
      <w:pPr>
        <w:spacing w:before="156" w:beforeLines="50"/>
        <w:jc w:val="center"/>
        <w:rPr>
          <w:rFonts w:ascii="宋体" w:hAnsi="宋体"/>
          <w:b/>
          <w:bCs/>
          <w:szCs w:val="21"/>
        </w:rPr>
      </w:pPr>
    </w:p>
    <w:p w14:paraId="6ACC9875">
      <w:pPr>
        <w:spacing w:before="156" w:beforeLines="50"/>
        <w:jc w:val="center"/>
        <w:rPr>
          <w:rFonts w:ascii="宋体" w:hAnsi="宋体"/>
          <w:sz w:val="52"/>
          <w:szCs w:val="52"/>
        </w:rPr>
      </w:pPr>
      <w:r>
        <w:rPr>
          <w:rFonts w:hint="eastAsia" w:ascii="宋体" w:hAnsi="宋体"/>
          <w:b/>
          <w:bCs/>
          <w:sz w:val="44"/>
          <w:szCs w:val="44"/>
        </w:rPr>
        <w:t>台州市中医院年度广告制作服务项目</w:t>
      </w:r>
    </w:p>
    <w:p w14:paraId="2920DF5D">
      <w:pPr>
        <w:spacing w:before="156" w:beforeLines="50"/>
        <w:rPr>
          <w:rFonts w:ascii="宋体" w:hAnsi="宋体"/>
          <w:sz w:val="52"/>
          <w:szCs w:val="52"/>
        </w:rPr>
      </w:pPr>
    </w:p>
    <w:p w14:paraId="1A7BDEE3">
      <w:pPr>
        <w:spacing w:before="156" w:beforeLines="50"/>
        <w:rPr>
          <w:rFonts w:ascii="宋体" w:hAnsi="宋体"/>
          <w:sz w:val="52"/>
          <w:szCs w:val="52"/>
        </w:rPr>
      </w:pPr>
    </w:p>
    <w:p w14:paraId="0A42BEF1">
      <w:pPr>
        <w:snapToGrid w:val="0"/>
        <w:spacing w:before="156" w:beforeLines="50"/>
        <w:jc w:val="center"/>
        <w:rPr>
          <w:rFonts w:ascii="宋体" w:hAnsi="宋体"/>
          <w:sz w:val="84"/>
          <w:szCs w:val="84"/>
        </w:rPr>
      </w:pPr>
      <w:r>
        <w:rPr>
          <w:rFonts w:hint="eastAsia" w:ascii="宋体" w:hAnsi="宋体"/>
          <w:sz w:val="84"/>
          <w:szCs w:val="84"/>
        </w:rPr>
        <w:t>竞争性磋商文件</w:t>
      </w:r>
    </w:p>
    <w:p w14:paraId="7A817FDA">
      <w:pPr>
        <w:pStyle w:val="28"/>
        <w:ind w:firstLine="442"/>
        <w:jc w:val="center"/>
        <w:rPr>
          <w:rFonts w:ascii="宋体" w:hAnsi="宋体"/>
          <w:b/>
          <w:bCs/>
          <w:kern w:val="2"/>
          <w:sz w:val="44"/>
          <w:szCs w:val="44"/>
        </w:rPr>
      </w:pPr>
      <w:r>
        <w:rPr>
          <w:rFonts w:hint="eastAsia" w:ascii="宋体" w:hAnsi="宋体"/>
          <w:b/>
          <w:bCs/>
          <w:kern w:val="2"/>
          <w:sz w:val="44"/>
          <w:szCs w:val="44"/>
        </w:rPr>
        <w:t>（非政府采购）</w:t>
      </w:r>
    </w:p>
    <w:p w14:paraId="61B32AEC">
      <w:pPr>
        <w:snapToGrid w:val="0"/>
        <w:spacing w:before="156" w:beforeLines="50" w:line="360" w:lineRule="auto"/>
        <w:rPr>
          <w:rFonts w:ascii="宋体" w:hAnsi="宋体"/>
          <w:sz w:val="30"/>
          <w:szCs w:val="72"/>
        </w:rPr>
      </w:pPr>
    </w:p>
    <w:p w14:paraId="646B8568">
      <w:pPr>
        <w:snapToGrid w:val="0"/>
        <w:spacing w:before="156" w:beforeLines="50" w:line="360" w:lineRule="auto"/>
        <w:rPr>
          <w:rFonts w:ascii="宋体" w:hAnsi="宋体"/>
          <w:sz w:val="30"/>
          <w:szCs w:val="72"/>
        </w:rPr>
      </w:pPr>
    </w:p>
    <w:p w14:paraId="61D01448">
      <w:pPr>
        <w:pStyle w:val="14"/>
        <w:snapToGrid w:val="0"/>
        <w:spacing w:before="120" w:after="120" w:line="360" w:lineRule="auto"/>
        <w:rPr>
          <w:rFonts w:hAnsi="宋体"/>
          <w:b/>
          <w:bCs/>
          <w:w w:val="95"/>
          <w:sz w:val="30"/>
          <w:szCs w:val="30"/>
        </w:rPr>
      </w:pPr>
    </w:p>
    <w:p w14:paraId="4997BE39">
      <w:pPr>
        <w:pStyle w:val="14"/>
        <w:snapToGrid w:val="0"/>
        <w:spacing w:before="120" w:after="120" w:line="360" w:lineRule="auto"/>
        <w:jc w:val="center"/>
        <w:rPr>
          <w:rFonts w:hAnsi="宋体"/>
          <w:b/>
          <w:bCs/>
          <w:w w:val="95"/>
          <w:sz w:val="30"/>
          <w:szCs w:val="30"/>
        </w:rPr>
      </w:pPr>
    </w:p>
    <w:p w14:paraId="79810DF8">
      <w:pPr>
        <w:pStyle w:val="15"/>
        <w:ind w:left="5250"/>
      </w:pPr>
    </w:p>
    <w:p w14:paraId="0E5DDDE0"/>
    <w:p w14:paraId="5C96E2F6">
      <w:pPr>
        <w:pStyle w:val="14"/>
        <w:snapToGrid w:val="0"/>
        <w:spacing w:before="120" w:after="120" w:line="360" w:lineRule="auto"/>
        <w:ind w:firstLine="2711" w:firstLineChars="900"/>
        <w:jc w:val="both"/>
        <w:rPr>
          <w:rFonts w:hAnsi="宋体"/>
          <w:b/>
          <w:sz w:val="30"/>
          <w:szCs w:val="48"/>
        </w:rPr>
      </w:pPr>
      <w:r>
        <w:rPr>
          <w:rFonts w:hAnsi="宋体"/>
          <w:b/>
          <w:sz w:val="30"/>
          <w:szCs w:val="48"/>
        </w:rPr>
        <w:t>采购单位：</w:t>
      </w:r>
      <w:r>
        <w:rPr>
          <w:rFonts w:hint="eastAsia" w:hAnsi="宋体"/>
          <w:b/>
          <w:sz w:val="30"/>
          <w:szCs w:val="48"/>
        </w:rPr>
        <w:t>台州市中医院</w:t>
      </w:r>
    </w:p>
    <w:p w14:paraId="304B672A">
      <w:pPr>
        <w:snapToGrid w:val="0"/>
        <w:spacing w:before="156" w:beforeLines="50" w:line="360" w:lineRule="auto"/>
        <w:ind w:firstLine="3434" w:firstLineChars="1200"/>
        <w:jc w:val="both"/>
        <w:rPr>
          <w:rFonts w:ascii="宋体"/>
          <w:b/>
          <w:sz w:val="10"/>
        </w:rPr>
      </w:pPr>
      <w:r>
        <w:rPr>
          <w:rFonts w:hint="eastAsia" w:ascii="宋体" w:hAnsi="宋体"/>
          <w:b/>
          <w:bCs/>
          <w:w w:val="95"/>
          <w:sz w:val="30"/>
          <w:szCs w:val="30"/>
        </w:rPr>
        <w:t>二○二</w:t>
      </w:r>
      <w:r>
        <w:rPr>
          <w:rFonts w:hint="eastAsia" w:ascii="宋体" w:hAnsi="宋体"/>
          <w:b/>
          <w:bCs/>
          <w:w w:val="95"/>
          <w:sz w:val="30"/>
          <w:szCs w:val="30"/>
          <w:lang w:val="en-US" w:eastAsia="zh-CN"/>
        </w:rPr>
        <w:t>五</w:t>
      </w:r>
      <w:r>
        <w:rPr>
          <w:rFonts w:hint="eastAsia" w:ascii="宋体" w:hAnsi="宋体"/>
          <w:b/>
          <w:bCs/>
          <w:w w:val="95"/>
          <w:sz w:val="30"/>
          <w:szCs w:val="30"/>
        </w:rPr>
        <w:t>年</w:t>
      </w:r>
      <w:r>
        <w:rPr>
          <w:rFonts w:hint="eastAsia" w:ascii="宋体" w:hAnsi="宋体"/>
          <w:b/>
          <w:bCs/>
          <w:w w:val="95"/>
          <w:sz w:val="30"/>
          <w:szCs w:val="30"/>
          <w:lang w:val="en-US" w:eastAsia="zh-CN"/>
        </w:rPr>
        <w:t>九</w:t>
      </w:r>
      <w:r>
        <w:rPr>
          <w:rFonts w:hint="eastAsia" w:ascii="宋体" w:hAnsi="宋体"/>
          <w:b/>
          <w:bCs/>
          <w:w w:val="95"/>
          <w:sz w:val="30"/>
          <w:szCs w:val="30"/>
        </w:rPr>
        <w:t>月</w:t>
      </w:r>
    </w:p>
    <w:p w14:paraId="11C2A3AE">
      <w:pPr>
        <w:spacing w:before="624" w:beforeLines="200" w:after="624" w:afterLines="200" w:line="480" w:lineRule="auto"/>
        <w:jc w:val="center"/>
        <w:rPr>
          <w:b/>
          <w:bCs/>
          <w:sz w:val="48"/>
          <w:szCs w:val="48"/>
        </w:rPr>
        <w:sectPr>
          <w:footerReference r:id="rId3" w:type="default"/>
          <w:pgSz w:w="11906" w:h="16838"/>
          <w:pgMar w:top="1440" w:right="1701" w:bottom="1440" w:left="1701" w:header="851" w:footer="992" w:gutter="0"/>
          <w:cols w:space="720" w:num="1"/>
          <w:docGrid w:type="lines" w:linePitch="312" w:charSpace="0"/>
        </w:sectPr>
      </w:pPr>
    </w:p>
    <w:p w14:paraId="04C3BAF7">
      <w:pPr>
        <w:spacing w:before="624" w:beforeLines="200" w:after="624" w:afterLines="200" w:line="480" w:lineRule="auto"/>
        <w:jc w:val="center"/>
        <w:rPr>
          <w:b/>
          <w:bCs/>
          <w:sz w:val="48"/>
          <w:szCs w:val="48"/>
        </w:rPr>
      </w:pPr>
      <w:r>
        <w:rPr>
          <w:rFonts w:hint="eastAsia"/>
          <w:b/>
          <w:bCs/>
          <w:sz w:val="48"/>
          <w:szCs w:val="48"/>
        </w:rPr>
        <w:t>目录</w:t>
      </w:r>
    </w:p>
    <w:p w14:paraId="3A1F2595">
      <w:pPr>
        <w:pStyle w:val="19"/>
        <w:tabs>
          <w:tab w:val="right" w:leader="dot" w:pos="8504"/>
          <w:tab w:val="clear" w:pos="9060"/>
        </w:tabs>
        <w:rPr>
          <w:sz w:val="28"/>
          <w:szCs w:val="28"/>
        </w:rPr>
      </w:pPr>
      <w:r>
        <w:rPr>
          <w:rFonts w:hint="eastAsia"/>
          <w:sz w:val="28"/>
          <w:szCs w:val="28"/>
          <w:lang w:eastAsia="zh-CN"/>
        </w:rPr>
        <w:fldChar w:fldCharType="begin"/>
      </w:r>
      <w:r>
        <w:rPr>
          <w:rFonts w:hint="eastAsia"/>
          <w:sz w:val="28"/>
          <w:szCs w:val="28"/>
          <w:lang w:eastAsia="zh-CN"/>
        </w:rPr>
        <w:instrText xml:space="preserve">TOC \o "1-1" \h \u </w:instrText>
      </w:r>
      <w:r>
        <w:rPr>
          <w:rFonts w:hint="eastAsia"/>
          <w:sz w:val="28"/>
          <w:szCs w:val="28"/>
          <w:lang w:eastAsia="zh-CN"/>
        </w:rPr>
        <w:fldChar w:fldCharType="separate"/>
      </w:r>
      <w:r>
        <w:fldChar w:fldCharType="begin"/>
      </w:r>
      <w:r>
        <w:instrText xml:space="preserve"> HYPERLINK \l "_Toc14662" </w:instrText>
      </w:r>
      <w:r>
        <w:fldChar w:fldCharType="separate"/>
      </w:r>
      <w:r>
        <w:rPr>
          <w:rFonts w:hint="eastAsia"/>
          <w:sz w:val="28"/>
          <w:szCs w:val="28"/>
          <w:lang w:eastAsia="zh-CN"/>
        </w:rPr>
        <w:t>第一章 竞争性磋商公告</w:t>
      </w:r>
      <w:r>
        <w:rPr>
          <w:sz w:val="28"/>
          <w:szCs w:val="28"/>
        </w:rPr>
        <w:tab/>
      </w:r>
      <w:r>
        <w:rPr>
          <w:sz w:val="28"/>
          <w:szCs w:val="28"/>
        </w:rPr>
        <w:fldChar w:fldCharType="begin"/>
      </w:r>
      <w:r>
        <w:rPr>
          <w:sz w:val="28"/>
          <w:szCs w:val="28"/>
        </w:rPr>
        <w:instrText xml:space="preserve"> PAGEREF _Toc14662 </w:instrText>
      </w:r>
      <w:r>
        <w:rPr>
          <w:sz w:val="28"/>
          <w:szCs w:val="28"/>
        </w:rPr>
        <w:fldChar w:fldCharType="separate"/>
      </w:r>
      <w:r>
        <w:rPr>
          <w:sz w:val="28"/>
          <w:szCs w:val="28"/>
        </w:rPr>
        <w:t>2</w:t>
      </w:r>
      <w:r>
        <w:rPr>
          <w:sz w:val="28"/>
          <w:szCs w:val="28"/>
        </w:rPr>
        <w:fldChar w:fldCharType="end"/>
      </w:r>
      <w:r>
        <w:rPr>
          <w:sz w:val="28"/>
          <w:szCs w:val="28"/>
        </w:rPr>
        <w:fldChar w:fldCharType="end"/>
      </w:r>
    </w:p>
    <w:p w14:paraId="4F725957">
      <w:pPr>
        <w:pStyle w:val="19"/>
        <w:tabs>
          <w:tab w:val="right" w:leader="dot" w:pos="8504"/>
          <w:tab w:val="clear" w:pos="9060"/>
        </w:tabs>
        <w:rPr>
          <w:sz w:val="28"/>
          <w:szCs w:val="28"/>
        </w:rPr>
      </w:pPr>
      <w:r>
        <w:fldChar w:fldCharType="begin"/>
      </w:r>
      <w:r>
        <w:instrText xml:space="preserve"> HYPERLINK \l "_Toc20349" </w:instrText>
      </w:r>
      <w:r>
        <w:fldChar w:fldCharType="separate"/>
      </w:r>
      <w:r>
        <w:rPr>
          <w:rFonts w:hint="eastAsia"/>
          <w:sz w:val="28"/>
          <w:szCs w:val="28"/>
          <w:lang w:eastAsia="zh-CN"/>
        </w:rPr>
        <w:t>第二章 磋商需求</w:t>
      </w:r>
      <w:r>
        <w:rPr>
          <w:sz w:val="28"/>
          <w:szCs w:val="28"/>
        </w:rPr>
        <w:tab/>
      </w:r>
      <w:r>
        <w:rPr>
          <w:sz w:val="28"/>
          <w:szCs w:val="28"/>
        </w:rPr>
        <w:fldChar w:fldCharType="begin"/>
      </w:r>
      <w:r>
        <w:rPr>
          <w:sz w:val="28"/>
          <w:szCs w:val="28"/>
        </w:rPr>
        <w:instrText xml:space="preserve"> PAGEREF _Toc20349 </w:instrText>
      </w:r>
      <w:r>
        <w:rPr>
          <w:sz w:val="28"/>
          <w:szCs w:val="28"/>
        </w:rPr>
        <w:fldChar w:fldCharType="separate"/>
      </w:r>
      <w:r>
        <w:rPr>
          <w:sz w:val="28"/>
          <w:szCs w:val="28"/>
        </w:rPr>
        <w:t>5</w:t>
      </w:r>
      <w:r>
        <w:rPr>
          <w:sz w:val="28"/>
          <w:szCs w:val="28"/>
        </w:rPr>
        <w:fldChar w:fldCharType="end"/>
      </w:r>
      <w:r>
        <w:rPr>
          <w:sz w:val="28"/>
          <w:szCs w:val="28"/>
        </w:rPr>
        <w:fldChar w:fldCharType="end"/>
      </w:r>
    </w:p>
    <w:p w14:paraId="318F7C73">
      <w:pPr>
        <w:pStyle w:val="19"/>
        <w:tabs>
          <w:tab w:val="right" w:leader="dot" w:pos="8504"/>
          <w:tab w:val="clear" w:pos="9060"/>
        </w:tabs>
        <w:rPr>
          <w:sz w:val="28"/>
          <w:szCs w:val="28"/>
        </w:rPr>
      </w:pPr>
      <w:r>
        <w:fldChar w:fldCharType="begin"/>
      </w:r>
      <w:r>
        <w:instrText xml:space="preserve"> HYPERLINK \l "_Toc18206" </w:instrText>
      </w:r>
      <w:r>
        <w:fldChar w:fldCharType="separate"/>
      </w:r>
      <w:r>
        <w:rPr>
          <w:rFonts w:hint="eastAsia"/>
          <w:sz w:val="28"/>
          <w:szCs w:val="28"/>
          <w:lang w:eastAsia="zh-CN"/>
        </w:rPr>
        <w:t>第三章 供应商须知</w:t>
      </w:r>
      <w:r>
        <w:rPr>
          <w:sz w:val="28"/>
          <w:szCs w:val="28"/>
        </w:rPr>
        <w:tab/>
      </w:r>
      <w:r>
        <w:rPr>
          <w:rFonts w:hint="eastAsia"/>
          <w:sz w:val="28"/>
          <w:szCs w:val="28"/>
          <w:lang w:eastAsia="zh-CN"/>
        </w:rPr>
        <w:t>10</w:t>
      </w:r>
      <w:r>
        <w:rPr>
          <w:rFonts w:hint="eastAsia"/>
          <w:sz w:val="28"/>
          <w:szCs w:val="28"/>
          <w:lang w:eastAsia="zh-CN"/>
        </w:rPr>
        <w:fldChar w:fldCharType="end"/>
      </w:r>
    </w:p>
    <w:p w14:paraId="7A8AF3B7">
      <w:pPr>
        <w:pStyle w:val="19"/>
        <w:tabs>
          <w:tab w:val="right" w:leader="dot" w:pos="8504"/>
          <w:tab w:val="clear" w:pos="9060"/>
        </w:tabs>
        <w:rPr>
          <w:sz w:val="28"/>
          <w:szCs w:val="28"/>
        </w:rPr>
      </w:pPr>
      <w:r>
        <w:fldChar w:fldCharType="begin"/>
      </w:r>
      <w:r>
        <w:instrText xml:space="preserve"> HYPERLINK \l "_Toc9771" </w:instrText>
      </w:r>
      <w:r>
        <w:fldChar w:fldCharType="separate"/>
      </w:r>
      <w:r>
        <w:rPr>
          <w:rFonts w:hint="eastAsia"/>
          <w:sz w:val="28"/>
          <w:szCs w:val="28"/>
          <w:lang w:eastAsia="zh-CN"/>
        </w:rPr>
        <w:t>第四章 评审办法、评分标准</w:t>
      </w:r>
      <w:r>
        <w:rPr>
          <w:sz w:val="28"/>
          <w:szCs w:val="28"/>
        </w:rPr>
        <w:tab/>
      </w:r>
      <w:r>
        <w:rPr>
          <w:rFonts w:hint="eastAsia"/>
          <w:sz w:val="28"/>
          <w:szCs w:val="28"/>
          <w:lang w:eastAsia="zh-CN"/>
        </w:rPr>
        <w:t>19</w:t>
      </w:r>
      <w:r>
        <w:rPr>
          <w:rFonts w:hint="eastAsia"/>
          <w:sz w:val="28"/>
          <w:szCs w:val="28"/>
          <w:lang w:eastAsia="zh-CN"/>
        </w:rPr>
        <w:fldChar w:fldCharType="end"/>
      </w:r>
    </w:p>
    <w:p w14:paraId="4D982821">
      <w:pPr>
        <w:pStyle w:val="19"/>
        <w:tabs>
          <w:tab w:val="right" w:leader="dot" w:pos="8504"/>
          <w:tab w:val="clear" w:pos="9060"/>
        </w:tabs>
        <w:rPr>
          <w:sz w:val="28"/>
          <w:szCs w:val="28"/>
        </w:rPr>
      </w:pPr>
      <w:r>
        <w:fldChar w:fldCharType="begin"/>
      </w:r>
      <w:r>
        <w:instrText xml:space="preserve"> HYPERLINK \l "_Toc4808" </w:instrText>
      </w:r>
      <w:r>
        <w:fldChar w:fldCharType="separate"/>
      </w:r>
      <w:r>
        <w:rPr>
          <w:rFonts w:hint="eastAsia"/>
          <w:sz w:val="28"/>
          <w:szCs w:val="28"/>
          <w:lang w:eastAsia="zh-CN"/>
        </w:rPr>
        <w:t>第五章 采购合同</w:t>
      </w:r>
      <w:r>
        <w:rPr>
          <w:rFonts w:hint="eastAsia"/>
          <w:lang w:val="en-US" w:eastAsia="zh-CN"/>
        </w:rPr>
        <w:t>草案</w:t>
      </w:r>
      <w:r>
        <w:rPr>
          <w:sz w:val="28"/>
          <w:szCs w:val="28"/>
        </w:rPr>
        <w:tab/>
      </w:r>
      <w:r>
        <w:rPr>
          <w:rFonts w:hint="eastAsia"/>
          <w:sz w:val="28"/>
          <w:szCs w:val="28"/>
          <w:lang w:eastAsia="zh-CN"/>
        </w:rPr>
        <w:t>22</w:t>
      </w:r>
      <w:r>
        <w:rPr>
          <w:rFonts w:hint="eastAsia"/>
          <w:sz w:val="28"/>
          <w:szCs w:val="28"/>
          <w:lang w:eastAsia="zh-CN"/>
        </w:rPr>
        <w:fldChar w:fldCharType="end"/>
      </w:r>
    </w:p>
    <w:p w14:paraId="3581C2D0">
      <w:pPr>
        <w:pStyle w:val="19"/>
        <w:tabs>
          <w:tab w:val="right" w:leader="dot" w:pos="8504"/>
          <w:tab w:val="clear" w:pos="9060"/>
        </w:tabs>
        <w:rPr>
          <w:sz w:val="28"/>
          <w:szCs w:val="28"/>
          <w:lang w:eastAsia="zh-CN"/>
        </w:rPr>
      </w:pPr>
      <w:r>
        <w:fldChar w:fldCharType="begin"/>
      </w:r>
      <w:r>
        <w:instrText xml:space="preserve"> HYPERLINK \l "_Toc30354" </w:instrText>
      </w:r>
      <w:r>
        <w:fldChar w:fldCharType="separate"/>
      </w:r>
      <w:r>
        <w:rPr>
          <w:rFonts w:hint="eastAsia"/>
          <w:sz w:val="28"/>
          <w:szCs w:val="28"/>
          <w:lang w:eastAsia="zh-CN"/>
        </w:rPr>
        <w:t>第六章 响应文件格式范例</w:t>
      </w:r>
      <w:r>
        <w:rPr>
          <w:sz w:val="28"/>
          <w:szCs w:val="28"/>
          <w:lang w:eastAsia="zh-CN"/>
        </w:rPr>
        <w:tab/>
      </w:r>
      <w:r>
        <w:rPr>
          <w:rFonts w:hint="eastAsia"/>
          <w:sz w:val="28"/>
          <w:szCs w:val="28"/>
          <w:lang w:eastAsia="zh-CN"/>
        </w:rPr>
        <w:t>29</w:t>
      </w:r>
      <w:r>
        <w:rPr>
          <w:rFonts w:hint="eastAsia"/>
          <w:sz w:val="28"/>
          <w:szCs w:val="28"/>
          <w:lang w:eastAsia="zh-CN"/>
        </w:rPr>
        <w:fldChar w:fldCharType="end"/>
      </w:r>
    </w:p>
    <w:p w14:paraId="0D8A7FE9">
      <w:pPr>
        <w:spacing w:before="624" w:beforeLines="200" w:after="624" w:afterLines="200" w:line="480" w:lineRule="auto"/>
        <w:jc w:val="center"/>
        <w:rPr>
          <w:b/>
          <w:bCs/>
          <w:sz w:val="48"/>
          <w:szCs w:val="48"/>
        </w:rPr>
      </w:pPr>
      <w:r>
        <w:rPr>
          <w:rFonts w:hint="eastAsia"/>
          <w:bCs/>
          <w:sz w:val="28"/>
          <w:szCs w:val="28"/>
        </w:rPr>
        <w:fldChar w:fldCharType="end"/>
      </w:r>
    </w:p>
    <w:p w14:paraId="188EB519"/>
    <w:p w14:paraId="48C19EE4"/>
    <w:p w14:paraId="4ABB45D0"/>
    <w:p w14:paraId="3CEBA135"/>
    <w:p w14:paraId="087902E6"/>
    <w:p w14:paraId="7D4F1A88"/>
    <w:p w14:paraId="2C2A5BF4"/>
    <w:p w14:paraId="51E91146"/>
    <w:p w14:paraId="217C483E"/>
    <w:p w14:paraId="078FCA47"/>
    <w:p w14:paraId="3C7958A0"/>
    <w:p w14:paraId="4FF78445"/>
    <w:p w14:paraId="1E5D89AA">
      <w:pPr>
        <w:pStyle w:val="26"/>
        <w:jc w:val="both"/>
        <w:rPr>
          <w:rFonts w:ascii="黑体" w:hAnsi="黑体" w:eastAsia="黑体"/>
          <w:b w:val="0"/>
          <w:lang w:eastAsia="zh-CN"/>
        </w:rPr>
      </w:pPr>
      <w:bookmarkStart w:id="0" w:name="_Toc530562784"/>
    </w:p>
    <w:p w14:paraId="347D5758">
      <w:pPr>
        <w:pStyle w:val="26"/>
        <w:rPr>
          <w:lang w:eastAsia="zh-CN"/>
        </w:rPr>
        <w:sectPr>
          <w:footerReference r:id="rId4" w:type="default"/>
          <w:pgSz w:w="11906" w:h="16838"/>
          <w:pgMar w:top="1440" w:right="1701" w:bottom="1440" w:left="1701" w:header="851" w:footer="992" w:gutter="0"/>
          <w:pgNumType w:start="1"/>
          <w:cols w:space="720" w:num="1"/>
          <w:docGrid w:type="lines" w:linePitch="312" w:charSpace="0"/>
        </w:sectPr>
      </w:pPr>
    </w:p>
    <w:p w14:paraId="5B7E0A8D">
      <w:pPr>
        <w:pStyle w:val="26"/>
        <w:rPr>
          <w:lang w:eastAsia="zh-CN"/>
        </w:rPr>
      </w:pPr>
      <w:bookmarkStart w:id="1" w:name="_Toc14662"/>
      <w:bookmarkStart w:id="2" w:name="OLE_LINK7"/>
      <w:r>
        <w:rPr>
          <w:rFonts w:hint="eastAsia"/>
          <w:lang w:eastAsia="zh-CN"/>
        </w:rPr>
        <w:t>第一章 竞争性磋商公告</w:t>
      </w:r>
      <w:bookmarkEnd w:id="0"/>
      <w:bookmarkEnd w:id="1"/>
    </w:p>
    <w:p w14:paraId="01057D00">
      <w:pPr>
        <w:tabs>
          <w:tab w:val="left" w:pos="180"/>
          <w:tab w:val="left" w:pos="360"/>
          <w:tab w:val="left" w:pos="540"/>
          <w:tab w:val="left" w:pos="8280"/>
        </w:tabs>
        <w:autoSpaceDE w:val="0"/>
        <w:autoSpaceDN w:val="0"/>
        <w:adjustRightInd w:val="0"/>
        <w:spacing w:before="312" w:beforeLines="100" w:line="360" w:lineRule="auto"/>
        <w:ind w:right="23" w:firstLine="539"/>
        <w:jc w:val="left"/>
        <w:rPr>
          <w:rFonts w:ascii="宋体" w:hAnsi="宋体" w:cs="宋体"/>
          <w:sz w:val="24"/>
        </w:rPr>
      </w:pPr>
      <w:r>
        <w:rPr>
          <w:rFonts w:hint="eastAsia" w:ascii="宋体" w:hAnsi="宋体" w:cs="宋体"/>
          <w:sz w:val="24"/>
        </w:rPr>
        <w:t>台州市中医院</w:t>
      </w:r>
      <w:r>
        <w:rPr>
          <w:rFonts w:hint="eastAsia" w:ascii="宋体" w:hAnsi="宋体" w:cs="宋体"/>
          <w:sz w:val="24"/>
          <w:lang w:val="en-US" w:eastAsia="zh-CN"/>
        </w:rPr>
        <w:t>就</w:t>
      </w:r>
      <w:r>
        <w:rPr>
          <w:rFonts w:hint="eastAsia" w:ascii="宋体" w:hAnsi="宋体" w:cs="宋体"/>
          <w:sz w:val="24"/>
        </w:rPr>
        <w:t>年度广告制作服务项目进行竞争性磋商采购，</w:t>
      </w:r>
      <w:r>
        <w:rPr>
          <w:rFonts w:hint="eastAsia" w:asciiTheme="minorEastAsia" w:hAnsiTheme="minorEastAsia" w:eastAsiaTheme="minorEastAsia" w:cstheme="minorEastAsia"/>
          <w:sz w:val="24"/>
          <w:szCs w:val="24"/>
        </w:rPr>
        <w:t>欢迎符合资格条件的国内供应商前来参与磋商</w:t>
      </w:r>
      <w:r>
        <w:rPr>
          <w:rFonts w:hint="eastAsia" w:ascii="宋体" w:hAnsi="宋体"/>
          <w:kern w:val="0"/>
          <w:sz w:val="24"/>
        </w:rPr>
        <w:t>。</w:t>
      </w:r>
    </w:p>
    <w:p w14:paraId="5D59CFFA">
      <w:pPr>
        <w:pStyle w:val="29"/>
        <w:rPr>
          <w:kern w:val="0"/>
        </w:rPr>
      </w:pPr>
      <w:r>
        <w:rPr>
          <w:rFonts w:hint="eastAsia"/>
          <w:kern w:val="0"/>
        </w:rPr>
        <w:t>一、项目基本情况</w:t>
      </w:r>
    </w:p>
    <w:p w14:paraId="4A7C4DF9">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rPr>
        <w:t>项目编号：</w:t>
      </w:r>
      <w:bookmarkStart w:id="3" w:name="OLE_LINK5"/>
      <w:r>
        <w:rPr>
          <w:rFonts w:hint="eastAsia" w:ascii="宋体" w:hAnsi="宋体" w:cs="宋体"/>
          <w:sz w:val="24"/>
          <w:lang w:val="en-US" w:eastAsia="zh-CN"/>
        </w:rPr>
        <w:t>TZSZYYZWZB001</w:t>
      </w:r>
      <w:bookmarkEnd w:id="3"/>
    </w:p>
    <w:p w14:paraId="1DD736C7">
      <w:pPr>
        <w:spacing w:line="360" w:lineRule="auto"/>
        <w:ind w:firstLine="480" w:firstLineChars="200"/>
        <w:rPr>
          <w:rFonts w:ascii="宋体" w:hAnsi="宋体" w:cs="宋体"/>
          <w:sz w:val="24"/>
        </w:rPr>
      </w:pPr>
      <w:r>
        <w:rPr>
          <w:rFonts w:ascii="宋体" w:hAnsi="宋体" w:cs="宋体"/>
          <w:sz w:val="24"/>
        </w:rPr>
        <w:t>项目名称：</w:t>
      </w:r>
      <w:bookmarkStart w:id="4" w:name="OLE_LINK3"/>
      <w:r>
        <w:rPr>
          <w:rFonts w:hint="eastAsia" w:ascii="宋体" w:hAnsi="宋体" w:cs="宋体"/>
          <w:sz w:val="24"/>
        </w:rPr>
        <w:t>台州市中医院年度广告制作服务项目</w:t>
      </w:r>
      <w:bookmarkEnd w:id="4"/>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2248"/>
        <w:gridCol w:w="875"/>
        <w:gridCol w:w="1025"/>
        <w:gridCol w:w="1620"/>
        <w:gridCol w:w="1785"/>
      </w:tblGrid>
      <w:tr w14:paraId="37DB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69" w:type="pct"/>
            <w:vAlign w:val="center"/>
          </w:tcPr>
          <w:p w14:paraId="3BE5EBC2">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标项号</w:t>
            </w:r>
          </w:p>
        </w:tc>
        <w:tc>
          <w:tcPr>
            <w:tcW w:w="1289" w:type="pct"/>
            <w:vAlign w:val="center"/>
          </w:tcPr>
          <w:p w14:paraId="1F4C6B4C">
            <w:pPr>
              <w:tabs>
                <w:tab w:val="left" w:pos="8280"/>
              </w:tabs>
              <w:autoSpaceDE w:val="0"/>
              <w:autoSpaceDN w:val="0"/>
              <w:adjustRightInd w:val="0"/>
              <w:ind w:firstLine="120" w:firstLineChars="50"/>
              <w:jc w:val="center"/>
              <w:rPr>
                <w:rFonts w:ascii="宋体" w:hAnsi="宋体" w:cs="宋体"/>
                <w:b/>
                <w:sz w:val="24"/>
                <w:szCs w:val="24"/>
              </w:rPr>
            </w:pPr>
            <w:r>
              <w:rPr>
                <w:rFonts w:hint="eastAsia" w:ascii="宋体" w:hAnsi="宋体" w:cs="宋体"/>
                <w:b/>
                <w:sz w:val="24"/>
                <w:szCs w:val="24"/>
              </w:rPr>
              <w:t>标项名称</w:t>
            </w:r>
          </w:p>
        </w:tc>
        <w:tc>
          <w:tcPr>
            <w:tcW w:w="502" w:type="pct"/>
            <w:vAlign w:val="center"/>
          </w:tcPr>
          <w:p w14:paraId="4D52F0BC">
            <w:pPr>
              <w:tabs>
                <w:tab w:val="left" w:pos="8280"/>
              </w:tabs>
              <w:autoSpaceDE w:val="0"/>
              <w:autoSpaceDN w:val="0"/>
              <w:adjustRightInd w:val="0"/>
              <w:jc w:val="center"/>
              <w:rPr>
                <w:rFonts w:ascii="宋体" w:hAnsi="宋体" w:cs="宋体"/>
                <w:b/>
                <w:sz w:val="24"/>
                <w:szCs w:val="24"/>
              </w:rPr>
            </w:pPr>
            <w:r>
              <w:rPr>
                <w:rFonts w:hint="eastAsia" w:ascii="宋体" w:hAnsi="宋体" w:cs="宋体"/>
                <w:b/>
                <w:kern w:val="0"/>
                <w:sz w:val="24"/>
                <w:szCs w:val="24"/>
              </w:rPr>
              <w:t>数量</w:t>
            </w:r>
          </w:p>
        </w:tc>
        <w:tc>
          <w:tcPr>
            <w:tcW w:w="588" w:type="pct"/>
            <w:vAlign w:val="center"/>
          </w:tcPr>
          <w:p w14:paraId="46F09670">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单位</w:t>
            </w:r>
          </w:p>
        </w:tc>
        <w:tc>
          <w:tcPr>
            <w:tcW w:w="929" w:type="pct"/>
            <w:vAlign w:val="center"/>
          </w:tcPr>
          <w:p w14:paraId="73752570">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预算</w:t>
            </w:r>
          </w:p>
        </w:tc>
        <w:tc>
          <w:tcPr>
            <w:tcW w:w="1024" w:type="pct"/>
            <w:vAlign w:val="center"/>
          </w:tcPr>
          <w:p w14:paraId="60505176">
            <w:pPr>
              <w:jc w:val="center"/>
              <w:rPr>
                <w:rFonts w:ascii="宋体" w:hAnsi="宋体" w:cs="宋体"/>
                <w:b/>
                <w:sz w:val="24"/>
                <w:szCs w:val="24"/>
              </w:rPr>
            </w:pPr>
            <w:r>
              <w:rPr>
                <w:rFonts w:hint="eastAsia" w:ascii="宋体" w:hAnsi="宋体" w:cs="宋体"/>
                <w:b/>
                <w:sz w:val="24"/>
                <w:szCs w:val="24"/>
              </w:rPr>
              <w:t>最高限价</w:t>
            </w:r>
          </w:p>
          <w:p w14:paraId="11198D93">
            <w:pPr>
              <w:jc w:val="center"/>
              <w:rPr>
                <w:rFonts w:ascii="宋体" w:hAnsi="宋体" w:cs="宋体"/>
                <w:b/>
                <w:sz w:val="24"/>
                <w:szCs w:val="24"/>
              </w:rPr>
            </w:pPr>
            <w:r>
              <w:rPr>
                <w:rFonts w:hint="eastAsia" w:ascii="宋体" w:hAnsi="宋体" w:cs="宋体"/>
                <w:b/>
                <w:sz w:val="24"/>
                <w:szCs w:val="24"/>
              </w:rPr>
              <w:t>（结算率）</w:t>
            </w:r>
          </w:p>
        </w:tc>
      </w:tr>
      <w:tr w14:paraId="61F7E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69" w:type="pct"/>
            <w:vAlign w:val="center"/>
          </w:tcPr>
          <w:p w14:paraId="0B3B4E50">
            <w:pPr>
              <w:tabs>
                <w:tab w:val="left" w:pos="8280"/>
              </w:tabs>
              <w:autoSpaceDE w:val="0"/>
              <w:autoSpaceDN w:val="0"/>
              <w:adjustRightInd w:val="0"/>
              <w:jc w:val="center"/>
              <w:rPr>
                <w:rFonts w:ascii="宋体" w:hAnsi="宋体" w:cs="宋体"/>
                <w:sz w:val="24"/>
                <w:szCs w:val="24"/>
              </w:rPr>
            </w:pPr>
            <w:r>
              <w:rPr>
                <w:rFonts w:hint="eastAsia" w:ascii="宋体" w:hAnsi="宋体" w:cs="宋体"/>
                <w:sz w:val="24"/>
                <w:szCs w:val="24"/>
              </w:rPr>
              <w:t>1</w:t>
            </w:r>
          </w:p>
        </w:tc>
        <w:tc>
          <w:tcPr>
            <w:tcW w:w="1289" w:type="pct"/>
            <w:vAlign w:val="center"/>
          </w:tcPr>
          <w:p w14:paraId="41A8E56C">
            <w:pPr>
              <w:tabs>
                <w:tab w:val="left" w:pos="8280"/>
              </w:tabs>
              <w:autoSpaceDE w:val="0"/>
              <w:autoSpaceDN w:val="0"/>
              <w:adjustRightInd w:val="0"/>
              <w:jc w:val="center"/>
              <w:rPr>
                <w:rFonts w:ascii="宋体" w:hAnsi="宋体" w:cs="宋体"/>
                <w:sz w:val="24"/>
                <w:szCs w:val="24"/>
              </w:rPr>
            </w:pPr>
            <w:r>
              <w:rPr>
                <w:rFonts w:hint="eastAsia" w:ascii="宋体" w:hAnsi="宋体" w:cs="宋体"/>
                <w:sz w:val="24"/>
              </w:rPr>
              <w:t>台州市中医院年度广告制作服务项目</w:t>
            </w:r>
          </w:p>
        </w:tc>
        <w:tc>
          <w:tcPr>
            <w:tcW w:w="502" w:type="pct"/>
            <w:vAlign w:val="center"/>
          </w:tcPr>
          <w:p w14:paraId="1CC92489">
            <w:pPr>
              <w:tabs>
                <w:tab w:val="left" w:pos="8280"/>
              </w:tabs>
              <w:autoSpaceDE w:val="0"/>
              <w:autoSpaceDN w:val="0"/>
              <w:adjustRightInd w:val="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3</w:t>
            </w:r>
          </w:p>
        </w:tc>
        <w:tc>
          <w:tcPr>
            <w:tcW w:w="588" w:type="pct"/>
            <w:vAlign w:val="center"/>
          </w:tcPr>
          <w:p w14:paraId="57BA60FA">
            <w:pPr>
              <w:tabs>
                <w:tab w:val="left" w:pos="8280"/>
              </w:tabs>
              <w:autoSpaceDE w:val="0"/>
              <w:autoSpaceDN w:val="0"/>
              <w:adjustRightInd w:val="0"/>
              <w:jc w:val="center"/>
              <w:rPr>
                <w:rFonts w:ascii="宋体" w:hAnsi="宋体" w:cs="宋体"/>
                <w:sz w:val="24"/>
                <w:szCs w:val="24"/>
                <w:highlight w:val="none"/>
              </w:rPr>
            </w:pPr>
            <w:r>
              <w:rPr>
                <w:rFonts w:ascii="宋体" w:hAnsi="宋体" w:cs="宋体"/>
                <w:sz w:val="24"/>
                <w:szCs w:val="24"/>
                <w:highlight w:val="none"/>
              </w:rPr>
              <w:t>年</w:t>
            </w:r>
          </w:p>
        </w:tc>
        <w:tc>
          <w:tcPr>
            <w:tcW w:w="929" w:type="pct"/>
            <w:vAlign w:val="center"/>
          </w:tcPr>
          <w:p w14:paraId="17187024">
            <w:pPr>
              <w:autoSpaceDE w:val="0"/>
              <w:autoSpaceDN w:val="0"/>
              <w:adjustRightInd w:val="0"/>
              <w:jc w:val="center"/>
              <w:rPr>
                <w:rFonts w:ascii="宋体" w:hAnsi="宋体" w:cs="宋体"/>
                <w:sz w:val="24"/>
                <w:szCs w:val="24"/>
                <w:highlight w:val="none"/>
              </w:rPr>
            </w:pPr>
            <w:r>
              <w:rPr>
                <w:rFonts w:hint="eastAsia" w:ascii="宋体" w:hAnsi="宋体" w:cs="宋体"/>
                <w:sz w:val="24"/>
                <w:szCs w:val="24"/>
                <w:highlight w:val="none"/>
              </w:rPr>
              <w:t>约10万元/年</w:t>
            </w:r>
          </w:p>
        </w:tc>
        <w:tc>
          <w:tcPr>
            <w:tcW w:w="1024" w:type="pct"/>
            <w:vAlign w:val="center"/>
          </w:tcPr>
          <w:p w14:paraId="5D336C4B">
            <w:pPr>
              <w:autoSpaceDE w:val="0"/>
              <w:autoSpaceDN w:val="0"/>
              <w:adjustRightInd w:val="0"/>
              <w:jc w:val="center"/>
              <w:rPr>
                <w:rFonts w:ascii="宋体" w:hAnsi="宋体" w:cs="宋体"/>
                <w:sz w:val="24"/>
                <w:szCs w:val="24"/>
              </w:rPr>
            </w:pPr>
            <w:r>
              <w:rPr>
                <w:rFonts w:hint="eastAsia" w:ascii="宋体" w:hAnsi="宋体" w:cs="宋体"/>
                <w:sz w:val="24"/>
                <w:szCs w:val="24"/>
              </w:rPr>
              <w:t>100%</w:t>
            </w:r>
          </w:p>
        </w:tc>
      </w:tr>
    </w:tbl>
    <w:p w14:paraId="480AC0BE">
      <w:pPr>
        <w:spacing w:line="360" w:lineRule="auto"/>
        <w:ind w:firstLine="482" w:firstLineChars="200"/>
        <w:rPr>
          <w:rFonts w:ascii="宋体" w:hAnsi="宋体"/>
          <w:b/>
          <w:sz w:val="24"/>
          <w:szCs w:val="24"/>
        </w:rPr>
      </w:pPr>
      <w:r>
        <w:rPr>
          <w:rFonts w:hint="eastAsia" w:ascii="宋体" w:hAnsi="宋体"/>
          <w:b/>
          <w:sz w:val="24"/>
          <w:szCs w:val="24"/>
        </w:rPr>
        <w:t>二、供应商的资格要求</w:t>
      </w:r>
    </w:p>
    <w:p w14:paraId="0956830B">
      <w:pPr>
        <w:spacing w:line="360" w:lineRule="auto"/>
        <w:ind w:firstLine="480" w:firstLineChars="200"/>
        <w:rPr>
          <w:rFonts w:ascii="宋体" w:hAnsi="宋体" w:cs="宋体"/>
          <w:sz w:val="24"/>
        </w:rPr>
      </w:pPr>
      <w:bookmarkStart w:id="5" w:name="_Toc35393623"/>
      <w:bookmarkStart w:id="6" w:name="_Toc28359081"/>
      <w:bookmarkStart w:id="7" w:name="_Toc28359004"/>
      <w:bookmarkStart w:id="8" w:name="_Toc35393792"/>
      <w:r>
        <w:rPr>
          <w:rFonts w:hint="eastAsia" w:ascii="宋体" w:hAnsi="宋体" w:cs="宋体"/>
          <w:sz w:val="24"/>
        </w:rPr>
        <w:t>（一）满足《中华人民共和国政府采购法》第二十二条规定；</w:t>
      </w:r>
    </w:p>
    <w:p w14:paraId="2587C874">
      <w:pPr>
        <w:spacing w:line="360" w:lineRule="auto"/>
        <w:ind w:firstLine="480" w:firstLineChars="200"/>
        <w:rPr>
          <w:rFonts w:ascii="宋体" w:hAnsi="宋体" w:cs="宋体"/>
          <w:sz w:val="24"/>
        </w:rPr>
      </w:pPr>
      <w:r>
        <w:rPr>
          <w:rFonts w:hint="eastAsia" w:ascii="宋体" w:hAnsi="宋体" w:cs="宋体"/>
          <w:sz w:val="24"/>
        </w:rPr>
        <w:t>（二）本项目的特定资格要求：</w:t>
      </w:r>
      <w:r>
        <w:rPr>
          <w:rFonts w:hint="eastAsia" w:ascii="宋体" w:hAnsi="宋体" w:cs="宋体"/>
          <w:b/>
          <w:sz w:val="24"/>
        </w:rPr>
        <w:t>无</w:t>
      </w:r>
    </w:p>
    <w:bookmarkEnd w:id="5"/>
    <w:bookmarkEnd w:id="6"/>
    <w:bookmarkEnd w:id="7"/>
    <w:bookmarkEnd w:id="8"/>
    <w:p w14:paraId="4F1BFDBE">
      <w:pPr>
        <w:spacing w:line="360" w:lineRule="auto"/>
        <w:ind w:firstLine="480" w:firstLineChars="200"/>
        <w:rPr>
          <w:rFonts w:ascii="宋体" w:hAnsi="宋体" w:cs="宋体"/>
          <w:sz w:val="24"/>
        </w:rPr>
      </w:pPr>
      <w:r>
        <w:rPr>
          <w:rFonts w:hint="eastAsia" w:ascii="宋体" w:hAnsi="宋体" w:cs="宋体"/>
          <w:sz w:val="24"/>
        </w:rPr>
        <w:t>（三）本项目</w:t>
      </w:r>
      <w:r>
        <w:rPr>
          <w:rFonts w:hint="eastAsia" w:ascii="宋体" w:hAnsi="宋体" w:cs="宋体"/>
          <w:b/>
          <w:bCs/>
          <w:sz w:val="24"/>
        </w:rPr>
        <w:t>(不接受)</w:t>
      </w:r>
      <w:r>
        <w:rPr>
          <w:rFonts w:hint="eastAsia" w:ascii="宋体" w:hAnsi="宋体" w:cs="宋体"/>
          <w:sz w:val="24"/>
        </w:rPr>
        <w:t>联合体；</w:t>
      </w:r>
    </w:p>
    <w:p w14:paraId="1D1435B2">
      <w:pPr>
        <w:spacing w:line="360" w:lineRule="auto"/>
        <w:ind w:firstLine="480" w:firstLineChars="200"/>
        <w:rPr>
          <w:rFonts w:ascii="宋体" w:hAnsi="宋体" w:cs="宋体"/>
          <w:sz w:val="24"/>
        </w:rPr>
      </w:pPr>
      <w:r>
        <w:rPr>
          <w:rFonts w:hint="eastAsia" w:ascii="宋体" w:hAnsi="宋体" w:cs="宋体"/>
          <w:sz w:val="24"/>
        </w:rPr>
        <w:t>（四）信用记录：未被“信用中国”（www.creditchina.gov.cn)、中国政府采购网（www.ccgp.gov.cn）列入失信被执行人、重大税收违法失信主体、政府采购严重违法失信行为记录名单。</w:t>
      </w:r>
    </w:p>
    <w:p w14:paraId="2284ADF0">
      <w:pPr>
        <w:spacing w:line="360" w:lineRule="auto"/>
        <w:ind w:firstLine="480" w:firstLineChars="200"/>
        <w:rPr>
          <w:rFonts w:ascii="宋体" w:hAnsi="宋体" w:cs="宋体"/>
          <w:sz w:val="24"/>
        </w:rPr>
      </w:pPr>
      <w:r>
        <w:rPr>
          <w:rFonts w:hint="eastAsia" w:ascii="宋体" w:hAnsi="宋体" w:cs="宋体"/>
          <w:sz w:val="24"/>
        </w:rPr>
        <w:t>（五）法律、行政法规规定的其他条件：单位负责人为同一人或者存在直接控股、管理关系的不同供应商，不得同时参加同一项目磋商；为本项目提供整体设计、规范编制或者项目管理、监理、检测等服务的供应商，不得再参与本项目磋商及其他规定不得参加的情形（联合体参与磋商的，联合体各方均须满足该条款。）</w:t>
      </w:r>
    </w:p>
    <w:p w14:paraId="149BC9A4">
      <w:pPr>
        <w:spacing w:line="360" w:lineRule="auto"/>
        <w:ind w:firstLine="482" w:firstLineChars="200"/>
        <w:rPr>
          <w:rFonts w:ascii="宋体" w:hAnsi="宋体"/>
          <w:b/>
          <w:sz w:val="24"/>
          <w:szCs w:val="24"/>
        </w:rPr>
      </w:pPr>
      <w:r>
        <w:rPr>
          <w:rFonts w:hint="eastAsia" w:ascii="宋体" w:hAnsi="宋体"/>
          <w:b/>
          <w:sz w:val="24"/>
          <w:szCs w:val="24"/>
        </w:rPr>
        <w:t>三、获取磋商文件</w:t>
      </w:r>
    </w:p>
    <w:p w14:paraId="14B5F8BE">
      <w:pPr>
        <w:spacing w:line="360" w:lineRule="auto"/>
        <w:ind w:firstLine="480" w:firstLineChars="200"/>
        <w:rPr>
          <w:rFonts w:ascii="宋体" w:hAnsi="宋体"/>
          <w:sz w:val="24"/>
          <w:szCs w:val="24"/>
        </w:rPr>
      </w:pPr>
      <w:r>
        <w:rPr>
          <w:rFonts w:hint="eastAsia" w:ascii="宋体" w:hAnsi="宋体"/>
          <w:sz w:val="24"/>
          <w:szCs w:val="24"/>
        </w:rPr>
        <w:t>（一）获取磋商文件时需提供以下资料：</w:t>
      </w:r>
    </w:p>
    <w:p w14:paraId="2C6354CA">
      <w:pPr>
        <w:spacing w:line="360" w:lineRule="auto"/>
        <w:ind w:firstLine="480" w:firstLineChars="200"/>
        <w:rPr>
          <w:rFonts w:ascii="宋体" w:hAnsi="宋体"/>
          <w:sz w:val="24"/>
          <w:szCs w:val="24"/>
        </w:rPr>
      </w:pPr>
      <w:r>
        <w:rPr>
          <w:rFonts w:hint="eastAsia" w:ascii="宋体" w:hAnsi="宋体"/>
          <w:sz w:val="24"/>
          <w:szCs w:val="24"/>
        </w:rPr>
        <w:t>1.营业执照副本复印件（加盖单位公章）；</w:t>
      </w:r>
    </w:p>
    <w:p w14:paraId="72E89D5F">
      <w:pPr>
        <w:spacing w:line="360" w:lineRule="auto"/>
        <w:ind w:firstLine="480" w:firstLineChars="200"/>
        <w:rPr>
          <w:rFonts w:ascii="宋体" w:hAnsi="宋体"/>
          <w:sz w:val="24"/>
          <w:szCs w:val="24"/>
        </w:rPr>
      </w:pPr>
      <w:r>
        <w:rPr>
          <w:rFonts w:hint="eastAsia" w:ascii="宋体" w:hAnsi="宋体"/>
          <w:sz w:val="24"/>
          <w:szCs w:val="24"/>
        </w:rPr>
        <w:t>2.法定代表人授权书原件（加盖单位公章，如为法定代表人报名无需提交）；</w:t>
      </w:r>
    </w:p>
    <w:p w14:paraId="4932E6EE">
      <w:pPr>
        <w:spacing w:line="360" w:lineRule="auto"/>
        <w:ind w:firstLine="480" w:firstLineChars="200"/>
        <w:rPr>
          <w:rFonts w:ascii="宋体" w:hAnsi="宋体"/>
          <w:sz w:val="24"/>
          <w:szCs w:val="24"/>
        </w:rPr>
      </w:pPr>
      <w:r>
        <w:rPr>
          <w:rFonts w:hint="eastAsia" w:ascii="宋体" w:hAnsi="宋体"/>
          <w:sz w:val="24"/>
          <w:szCs w:val="24"/>
        </w:rPr>
        <w:t>3.报名人有效身份证件复印件（加盖单位公章，原件备查）及联系方式。</w:t>
      </w:r>
    </w:p>
    <w:p w14:paraId="3DF208DA">
      <w:pPr>
        <w:spacing w:line="360" w:lineRule="auto"/>
        <w:ind w:firstLine="480" w:firstLineChars="200"/>
        <w:rPr>
          <w:rFonts w:ascii="宋体" w:hAnsi="宋体"/>
          <w:sz w:val="24"/>
          <w:szCs w:val="24"/>
        </w:rPr>
      </w:pPr>
      <w:r>
        <w:rPr>
          <w:rFonts w:hint="eastAsia" w:ascii="宋体" w:hAnsi="宋体"/>
          <w:sz w:val="24"/>
          <w:szCs w:val="24"/>
        </w:rPr>
        <w:t>（二）获取磋商文件的时间</w:t>
      </w:r>
    </w:p>
    <w:p w14:paraId="052DB21C">
      <w:pPr>
        <w:spacing w:line="360" w:lineRule="auto"/>
        <w:ind w:firstLine="480" w:firstLineChars="200"/>
        <w:rPr>
          <w:rFonts w:ascii="宋体" w:hAnsi="宋体"/>
          <w:sz w:val="24"/>
          <w:szCs w:val="24"/>
        </w:rPr>
      </w:pPr>
      <w:r>
        <w:rPr>
          <w:rFonts w:hint="eastAsia" w:ascii="宋体" w:hAnsi="宋体"/>
          <w:sz w:val="24"/>
          <w:szCs w:val="24"/>
        </w:rPr>
        <w:t>时间：</w:t>
      </w:r>
      <w:bookmarkStart w:id="9" w:name="B19_招标文件发售起始日期"/>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 xml:space="preserve">年 </w:t>
      </w:r>
      <w:r>
        <w:rPr>
          <w:rFonts w:hint="eastAsia" w:ascii="宋体" w:hAnsi="宋体" w:cs="宋体"/>
          <w:sz w:val="24"/>
          <w:lang w:val="en-US" w:eastAsia="zh-CN"/>
        </w:rPr>
        <w:t>9</w:t>
      </w:r>
      <w:r>
        <w:rPr>
          <w:rFonts w:hint="eastAsia" w:ascii="宋体" w:hAnsi="宋体" w:cs="宋体"/>
          <w:sz w:val="24"/>
        </w:rPr>
        <w:t xml:space="preserve"> 月</w:t>
      </w:r>
      <w:r>
        <w:rPr>
          <w:rFonts w:hint="eastAsia" w:ascii="宋体" w:hAnsi="宋体" w:cs="宋体"/>
          <w:sz w:val="24"/>
          <w:highlight w:val="none"/>
          <w:lang w:val="en-US" w:eastAsia="zh-CN"/>
        </w:rPr>
        <w:t>12</w:t>
      </w:r>
      <w:r>
        <w:rPr>
          <w:rFonts w:hint="eastAsia" w:ascii="宋体" w:hAnsi="宋体" w:cs="宋体"/>
          <w:sz w:val="24"/>
          <w:highlight w:val="none"/>
        </w:rPr>
        <w:t>日</w:t>
      </w:r>
      <w:bookmarkEnd w:id="9"/>
      <w:r>
        <w:rPr>
          <w:rFonts w:hint="eastAsia" w:ascii="宋体" w:hAnsi="宋体" w:cs="宋体"/>
          <w:sz w:val="24"/>
        </w:rPr>
        <w:t>至响应截止时间(双休日及法定节假日除外)</w:t>
      </w:r>
    </w:p>
    <w:p w14:paraId="456D1637">
      <w:pPr>
        <w:spacing w:line="360" w:lineRule="auto"/>
        <w:ind w:firstLine="480" w:firstLineChars="200"/>
        <w:rPr>
          <w:rFonts w:ascii="宋体" w:hAnsi="宋体"/>
          <w:sz w:val="24"/>
          <w:szCs w:val="24"/>
        </w:rPr>
      </w:pPr>
      <w:r>
        <w:rPr>
          <w:rFonts w:hint="eastAsia" w:ascii="宋体" w:hAnsi="宋体"/>
          <w:sz w:val="24"/>
          <w:szCs w:val="24"/>
        </w:rPr>
        <w:t>上午：8:30-1</w:t>
      </w:r>
      <w:r>
        <w:rPr>
          <w:rFonts w:hint="eastAsia" w:ascii="宋体" w:hAnsi="宋体"/>
          <w:sz w:val="24"/>
          <w:szCs w:val="24"/>
          <w:lang w:val="en-US" w:eastAsia="zh-CN"/>
        </w:rPr>
        <w:t>2</w:t>
      </w:r>
      <w:r>
        <w:rPr>
          <w:rFonts w:hint="eastAsia" w:ascii="宋体" w:hAnsi="宋体"/>
          <w:sz w:val="24"/>
          <w:szCs w:val="24"/>
        </w:rPr>
        <w:t>:00       下午：14:00-16:30</w:t>
      </w:r>
    </w:p>
    <w:p w14:paraId="1AAAC4D8">
      <w:pPr>
        <w:spacing w:line="360" w:lineRule="auto"/>
        <w:ind w:firstLine="482" w:firstLineChars="200"/>
        <w:rPr>
          <w:rFonts w:ascii="宋体" w:hAnsi="宋体"/>
          <w:b/>
          <w:sz w:val="24"/>
          <w:szCs w:val="24"/>
        </w:rPr>
      </w:pPr>
      <w:r>
        <w:rPr>
          <w:rFonts w:hint="eastAsia" w:ascii="宋体" w:hAnsi="宋体"/>
          <w:b/>
          <w:sz w:val="24"/>
          <w:szCs w:val="24"/>
        </w:rPr>
        <w:t>（三）本项目允许通过电子邮件方式报名或现场报名，如采用电子邮件报名方式请将上述报名资料原件扫描件发送至指定报名邮箱，并在递交响应文件时将报名资料原件单独提交给</w:t>
      </w:r>
      <w:r>
        <w:rPr>
          <w:rFonts w:hint="eastAsia" w:ascii="宋体" w:hAnsi="宋体"/>
          <w:b/>
          <w:sz w:val="24"/>
          <w:szCs w:val="24"/>
          <w:lang w:val="en-US" w:eastAsia="zh-CN"/>
        </w:rPr>
        <w:t>报名联系人</w:t>
      </w:r>
      <w:r>
        <w:rPr>
          <w:rFonts w:hint="eastAsia" w:ascii="宋体" w:hAnsi="宋体"/>
          <w:b/>
          <w:sz w:val="24"/>
          <w:szCs w:val="24"/>
        </w:rPr>
        <w:t>（报名资料无需密封）。</w:t>
      </w:r>
    </w:p>
    <w:p w14:paraId="34EC1B3C">
      <w:pPr>
        <w:spacing w:line="360" w:lineRule="auto"/>
        <w:ind w:firstLine="480" w:firstLineChars="200"/>
        <w:rPr>
          <w:rFonts w:hint="eastAsia" w:ascii="宋体" w:hAnsi="宋体" w:eastAsia="宋体"/>
          <w:sz w:val="24"/>
          <w:szCs w:val="24"/>
          <w:lang w:val="en-US" w:eastAsia="zh-CN"/>
        </w:rPr>
      </w:pPr>
      <w:r>
        <w:rPr>
          <w:rFonts w:hint="eastAsia" w:ascii="宋体" w:hAnsi="宋体"/>
          <w:sz w:val="24"/>
          <w:szCs w:val="24"/>
        </w:rPr>
        <w:t>报名联系人：</w:t>
      </w:r>
      <w:r>
        <w:rPr>
          <w:rFonts w:hint="eastAsia" w:ascii="宋体" w:hAnsi="宋体"/>
          <w:sz w:val="24"/>
          <w:szCs w:val="24"/>
          <w:lang w:val="en-US" w:eastAsia="zh-CN"/>
        </w:rPr>
        <w:t>卢老师</w:t>
      </w:r>
    </w:p>
    <w:p w14:paraId="02D58A54">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报名联系电话：</w:t>
      </w:r>
      <w:r>
        <w:rPr>
          <w:rFonts w:hint="eastAsia" w:ascii="宋体" w:hAnsi="宋体"/>
          <w:sz w:val="24"/>
          <w:szCs w:val="24"/>
          <w:lang w:val="en-US" w:eastAsia="zh-CN"/>
        </w:rPr>
        <w:t xml:space="preserve"> </w:t>
      </w:r>
      <w:bookmarkStart w:id="10" w:name="OLE_LINK6"/>
      <w:r>
        <w:rPr>
          <w:rFonts w:hint="eastAsia" w:ascii="宋体" w:hAnsi="宋体"/>
          <w:sz w:val="24"/>
          <w:szCs w:val="24"/>
          <w:lang w:val="en-US" w:eastAsia="zh-CN"/>
        </w:rPr>
        <w:t>15557676665</w:t>
      </w:r>
    </w:p>
    <w:bookmarkEnd w:id="10"/>
    <w:p w14:paraId="1E50DE25">
      <w:pPr>
        <w:spacing w:line="360" w:lineRule="auto"/>
        <w:ind w:firstLine="480" w:firstLineChars="200"/>
        <w:rPr>
          <w:rFonts w:ascii="Microsoft YaHei UI" w:hAnsi="Microsoft YaHei UI" w:eastAsia="Microsoft YaHei UI" w:cs="Microsoft YaHei UI"/>
          <w:i w:val="0"/>
          <w:iCs w:val="0"/>
          <w:caps w:val="0"/>
          <w:color w:val="555555"/>
          <w:spacing w:val="0"/>
          <w:sz w:val="28"/>
          <w:szCs w:val="28"/>
          <w:shd w:val="clear" w:fill="FFFFFF"/>
        </w:rPr>
      </w:pPr>
      <w:r>
        <w:rPr>
          <w:rFonts w:hint="eastAsia" w:ascii="宋体" w:hAnsi="宋体"/>
          <w:sz w:val="24"/>
          <w:szCs w:val="24"/>
        </w:rPr>
        <w:t>报名邮箱：</w:t>
      </w:r>
      <w:r>
        <w:rPr>
          <w:rFonts w:hint="eastAsia" w:ascii="宋体" w:hAnsi="宋体"/>
          <w:sz w:val="24"/>
          <w:szCs w:val="24"/>
          <w:lang w:val="en-US" w:eastAsia="zh-CN"/>
        </w:rPr>
        <w:t>178227353@qq.com</w:t>
      </w:r>
    </w:p>
    <w:p w14:paraId="39E11F76">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报名地址：台州市椒江区</w:t>
      </w:r>
      <w:r>
        <w:rPr>
          <w:rFonts w:hint="eastAsia" w:ascii="宋体" w:hAnsi="宋体"/>
          <w:sz w:val="24"/>
          <w:szCs w:val="24"/>
          <w:lang w:val="en-US" w:eastAsia="zh-CN"/>
        </w:rPr>
        <w:t>中山西路278号台州市中医院4号楼三楼319室</w:t>
      </w:r>
    </w:p>
    <w:p w14:paraId="661746B3">
      <w:pPr>
        <w:spacing w:line="360" w:lineRule="auto"/>
        <w:ind w:firstLine="482" w:firstLineChars="200"/>
        <w:rPr>
          <w:rFonts w:ascii="宋体" w:hAnsi="宋体"/>
          <w:b/>
          <w:sz w:val="24"/>
          <w:szCs w:val="24"/>
        </w:rPr>
      </w:pPr>
      <w:r>
        <w:rPr>
          <w:rFonts w:hint="eastAsia" w:ascii="宋体" w:hAnsi="宋体"/>
          <w:b/>
          <w:sz w:val="24"/>
          <w:szCs w:val="24"/>
        </w:rPr>
        <w:t>（四）工本费：无</w:t>
      </w:r>
    </w:p>
    <w:p w14:paraId="1CF71889">
      <w:pPr>
        <w:spacing w:line="360" w:lineRule="auto"/>
        <w:ind w:firstLine="482" w:firstLineChars="200"/>
        <w:rPr>
          <w:rFonts w:ascii="宋体" w:hAnsi="宋体"/>
          <w:sz w:val="24"/>
          <w:szCs w:val="24"/>
          <w:u w:val="single"/>
        </w:rPr>
      </w:pPr>
      <w:r>
        <w:rPr>
          <w:rFonts w:hint="eastAsia" w:ascii="宋体" w:hAnsi="宋体"/>
          <w:b/>
          <w:sz w:val="24"/>
          <w:szCs w:val="24"/>
        </w:rPr>
        <w:t>四、</w:t>
      </w:r>
      <w:r>
        <w:rPr>
          <w:rFonts w:hint="eastAsia" w:ascii="宋体" w:hAnsi="宋体" w:cs="宋体"/>
          <w:b/>
          <w:bCs/>
          <w:kern w:val="0"/>
          <w:sz w:val="24"/>
        </w:rPr>
        <w:t>提交磋商响应文件</w:t>
      </w:r>
    </w:p>
    <w:p w14:paraId="45F94CF4">
      <w:pPr>
        <w:spacing w:line="360" w:lineRule="auto"/>
        <w:ind w:firstLine="480" w:firstLineChars="200"/>
        <w:rPr>
          <w:rFonts w:ascii="宋体" w:hAnsi="宋体"/>
          <w:sz w:val="24"/>
          <w:szCs w:val="24"/>
        </w:rPr>
      </w:pPr>
      <w:bookmarkStart w:id="11" w:name="_Toc35393794"/>
      <w:bookmarkStart w:id="12" w:name="_Toc35393625"/>
      <w:bookmarkStart w:id="13" w:name="_Toc28359084"/>
      <w:bookmarkStart w:id="14" w:name="_Toc28359007"/>
      <w:r>
        <w:rPr>
          <w:rFonts w:hint="eastAsia" w:ascii="宋体" w:hAnsi="宋体"/>
          <w:sz w:val="24"/>
          <w:szCs w:val="24"/>
        </w:rPr>
        <w:t>（一）</w:t>
      </w:r>
      <w:r>
        <w:rPr>
          <w:rFonts w:hint="eastAsia" w:ascii="宋体" w:hAnsi="宋体"/>
          <w:b/>
          <w:sz w:val="24"/>
          <w:szCs w:val="24"/>
        </w:rPr>
        <w:t>截止时间（磋商开始时间）：</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年</w:t>
      </w:r>
      <w:r>
        <w:rPr>
          <w:rFonts w:hint="eastAsia" w:ascii="宋体" w:hAnsi="宋体" w:cs="宋体"/>
          <w:sz w:val="24"/>
          <w:lang w:val="en-US" w:eastAsia="zh-CN"/>
        </w:rPr>
        <w:t>9</w:t>
      </w:r>
      <w:r>
        <w:rPr>
          <w:rFonts w:hint="eastAsia" w:ascii="宋体" w:hAnsi="宋体" w:cs="宋体"/>
          <w:sz w:val="24"/>
        </w:rPr>
        <w:t xml:space="preserve"> 月</w:t>
      </w:r>
      <w:r>
        <w:rPr>
          <w:rFonts w:hint="eastAsia" w:ascii="宋体" w:hAnsi="宋体" w:cs="宋体"/>
          <w:sz w:val="24"/>
          <w:lang w:val="en-US" w:eastAsia="zh-CN"/>
        </w:rPr>
        <w:t>23</w:t>
      </w:r>
      <w:r>
        <w:rPr>
          <w:rFonts w:hint="eastAsia" w:ascii="宋体" w:hAnsi="宋体" w:cs="宋体"/>
          <w:sz w:val="24"/>
        </w:rPr>
        <w:t xml:space="preserve">  日</w:t>
      </w:r>
      <w:r>
        <w:rPr>
          <w:rFonts w:hint="eastAsia" w:ascii="宋体" w:hAnsi="宋体"/>
          <w:sz w:val="24"/>
          <w:szCs w:val="24"/>
          <w:lang w:val="en-US" w:eastAsia="zh-CN"/>
        </w:rPr>
        <w:t>14</w:t>
      </w:r>
      <w:r>
        <w:rPr>
          <w:rFonts w:hint="eastAsia" w:ascii="宋体" w:hAnsi="宋体"/>
          <w:sz w:val="24"/>
          <w:szCs w:val="24"/>
        </w:rPr>
        <w:t>时 30分</w:t>
      </w:r>
    </w:p>
    <w:p w14:paraId="6DF742E2">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（二）</w:t>
      </w:r>
      <w:r>
        <w:rPr>
          <w:rFonts w:hint="eastAsia" w:ascii="宋体" w:hAnsi="宋体"/>
          <w:b/>
          <w:sz w:val="24"/>
          <w:szCs w:val="24"/>
        </w:rPr>
        <w:t>提交地址（磋商地点）：</w:t>
      </w:r>
      <w:r>
        <w:rPr>
          <w:rFonts w:hint="eastAsia" w:ascii="宋体" w:hAnsi="宋体"/>
          <w:sz w:val="24"/>
          <w:szCs w:val="24"/>
        </w:rPr>
        <w:t>台州市椒江区</w:t>
      </w:r>
      <w:r>
        <w:rPr>
          <w:rFonts w:hint="eastAsia" w:ascii="宋体" w:hAnsi="宋体"/>
          <w:sz w:val="24"/>
          <w:szCs w:val="24"/>
          <w:lang w:val="en-US" w:eastAsia="zh-CN"/>
        </w:rPr>
        <w:t>中山西路278号台州市中医院4号楼三楼319室</w:t>
      </w:r>
    </w:p>
    <w:bookmarkEnd w:id="11"/>
    <w:bookmarkEnd w:id="12"/>
    <w:bookmarkEnd w:id="13"/>
    <w:bookmarkEnd w:id="14"/>
    <w:p w14:paraId="2ABF8D27">
      <w:pPr>
        <w:spacing w:line="360" w:lineRule="auto"/>
        <w:ind w:firstLine="480" w:firstLineChars="200"/>
        <w:rPr>
          <w:rFonts w:ascii="宋体" w:hAnsi="宋体"/>
          <w:sz w:val="24"/>
          <w:szCs w:val="24"/>
        </w:rPr>
      </w:pPr>
      <w:r>
        <w:rPr>
          <w:rFonts w:hint="eastAsia" w:ascii="宋体" w:hAnsi="宋体"/>
          <w:sz w:val="24"/>
          <w:szCs w:val="24"/>
        </w:rPr>
        <w:t>请在提交截止时间前将响应文件及样品送至磋商地点，逾期或不符合规定的响应文件恕不接受。</w:t>
      </w:r>
    </w:p>
    <w:p w14:paraId="35D3A96C">
      <w:pPr>
        <w:spacing w:line="360" w:lineRule="auto"/>
        <w:ind w:firstLine="482" w:firstLineChars="200"/>
        <w:rPr>
          <w:rFonts w:ascii="宋体" w:hAnsi="宋体"/>
          <w:b/>
          <w:sz w:val="24"/>
          <w:szCs w:val="24"/>
        </w:rPr>
      </w:pPr>
      <w:r>
        <w:rPr>
          <w:rFonts w:hint="eastAsia" w:ascii="宋体" w:hAnsi="宋体"/>
          <w:b/>
          <w:sz w:val="24"/>
          <w:szCs w:val="24"/>
        </w:rPr>
        <w:t>五、发布公告</w:t>
      </w:r>
    </w:p>
    <w:p w14:paraId="75814481">
      <w:pPr>
        <w:spacing w:line="360" w:lineRule="auto"/>
        <w:ind w:firstLine="480" w:firstLineChars="200"/>
        <w:rPr>
          <w:rFonts w:hint="default" w:ascii="宋体" w:hAnsi="宋体" w:eastAsia="宋体"/>
          <w:sz w:val="24"/>
          <w:szCs w:val="24"/>
          <w:highlight w:val="yellow"/>
          <w:lang w:val="en-US" w:eastAsia="zh-CN"/>
        </w:rPr>
      </w:pPr>
      <w:bookmarkStart w:id="15" w:name="_Toc35393795"/>
      <w:bookmarkStart w:id="16" w:name="_Toc35393626"/>
      <w:r>
        <w:rPr>
          <w:rFonts w:hint="eastAsia" w:ascii="宋体" w:hAnsi="宋体"/>
          <w:sz w:val="24"/>
          <w:szCs w:val="24"/>
        </w:rPr>
        <w:t>（一）公告网址：</w:t>
      </w:r>
      <w:r>
        <w:rPr>
          <w:rFonts w:hint="eastAsia" w:ascii="宋体" w:hAnsi="宋体"/>
          <w:sz w:val="24"/>
          <w:szCs w:val="24"/>
          <w:lang w:val="en-US" w:eastAsia="zh-CN"/>
        </w:rPr>
        <w:t xml:space="preserve"> 浙江政府采购网、台州市中医院官网</w:t>
      </w:r>
    </w:p>
    <w:p w14:paraId="12396F7D">
      <w:pPr>
        <w:spacing w:line="360" w:lineRule="auto"/>
        <w:ind w:firstLine="480" w:firstLineChars="200"/>
        <w:rPr>
          <w:rFonts w:ascii="宋体" w:hAnsi="宋体"/>
          <w:sz w:val="24"/>
          <w:szCs w:val="24"/>
        </w:rPr>
      </w:pPr>
      <w:r>
        <w:rPr>
          <w:rFonts w:hint="eastAsia" w:ascii="宋体" w:hAnsi="宋体"/>
          <w:sz w:val="24"/>
          <w:szCs w:val="24"/>
        </w:rPr>
        <w:t>（二）公告期限：本公告期限自发布之日起</w:t>
      </w:r>
      <w:r>
        <w:rPr>
          <w:rFonts w:hint="eastAsia" w:ascii="宋体" w:hAnsi="宋体"/>
          <w:sz w:val="24"/>
          <w:szCs w:val="24"/>
          <w:lang w:val="en-US" w:eastAsia="zh-CN"/>
        </w:rPr>
        <w:t>8</w:t>
      </w:r>
      <w:r>
        <w:rPr>
          <w:rFonts w:hint="eastAsia" w:ascii="宋体" w:hAnsi="宋体"/>
          <w:sz w:val="24"/>
          <w:szCs w:val="24"/>
        </w:rPr>
        <w:t>个工作日</w:t>
      </w:r>
      <w:r>
        <w:rPr>
          <w:rFonts w:ascii="宋体" w:hAnsi="宋体"/>
          <w:sz w:val="24"/>
          <w:szCs w:val="24"/>
        </w:rPr>
        <w:t>。</w:t>
      </w:r>
    </w:p>
    <w:bookmarkEnd w:id="15"/>
    <w:bookmarkEnd w:id="16"/>
    <w:p w14:paraId="5E0875B7">
      <w:pPr>
        <w:spacing w:line="360" w:lineRule="auto"/>
        <w:ind w:firstLine="482" w:firstLineChars="200"/>
        <w:rPr>
          <w:rFonts w:ascii="宋体" w:hAnsi="宋体"/>
          <w:b/>
          <w:sz w:val="24"/>
          <w:szCs w:val="24"/>
        </w:rPr>
      </w:pPr>
      <w:r>
        <w:rPr>
          <w:rFonts w:hint="eastAsia" w:ascii="宋体" w:hAnsi="宋体"/>
          <w:b/>
          <w:sz w:val="24"/>
          <w:szCs w:val="24"/>
        </w:rPr>
        <w:t>六、</w:t>
      </w:r>
      <w:r>
        <w:rPr>
          <w:rFonts w:hint="eastAsia" w:ascii="宋体" w:hAnsi="宋体" w:cs="宋体"/>
          <w:b/>
          <w:bCs/>
          <w:kern w:val="0"/>
          <w:sz w:val="24"/>
        </w:rPr>
        <w:t>其他补充事宜</w:t>
      </w:r>
    </w:p>
    <w:p w14:paraId="1B29206D">
      <w:pPr>
        <w:spacing w:line="360" w:lineRule="auto"/>
        <w:ind w:firstLine="482" w:firstLineChars="201"/>
        <w:rPr>
          <w:rFonts w:ascii="宋体" w:hAnsi="宋体" w:cs="Arial"/>
          <w:sz w:val="24"/>
        </w:rPr>
      </w:pPr>
      <w:r>
        <w:rPr>
          <w:rFonts w:hint="eastAsia" w:ascii="宋体" w:hAnsi="宋体" w:cs="Arial"/>
          <w:sz w:val="24"/>
        </w:rPr>
        <w:t>供应商认为磋商文件使自己的权益受到损害的，可以自收到磋商文件之日（发售截止日之后收到磋商文件的，以发售截止日为准）或者磋商文件公告期限届满之日（磋商公告为公告发布后的第4个工作日）起7个工作日内，以书面形式向采购人提出质疑。</w:t>
      </w:r>
    </w:p>
    <w:p w14:paraId="282CECA6">
      <w:pPr>
        <w:spacing w:line="360" w:lineRule="auto"/>
        <w:ind w:firstLine="482" w:firstLineChars="200"/>
        <w:rPr>
          <w:rFonts w:ascii="宋体" w:hAnsi="宋体"/>
          <w:b/>
          <w:sz w:val="24"/>
          <w:szCs w:val="24"/>
        </w:rPr>
      </w:pPr>
      <w:r>
        <w:rPr>
          <w:rFonts w:hint="eastAsia" w:ascii="宋体" w:hAnsi="宋体"/>
          <w:b/>
          <w:sz w:val="24"/>
          <w:szCs w:val="24"/>
        </w:rPr>
        <w:t>七、联系方式</w:t>
      </w:r>
    </w:p>
    <w:p w14:paraId="22A93EFD">
      <w:pPr>
        <w:spacing w:line="360" w:lineRule="auto"/>
        <w:ind w:firstLine="482" w:firstLineChars="200"/>
        <w:rPr>
          <w:rFonts w:ascii="宋体" w:hAnsi="宋体" w:cs="Arial"/>
          <w:b/>
          <w:sz w:val="24"/>
        </w:rPr>
      </w:pPr>
      <w:r>
        <w:rPr>
          <w:rFonts w:hint="eastAsia" w:ascii="宋体" w:hAnsi="宋体" w:cs="Arial"/>
          <w:b/>
          <w:sz w:val="24"/>
        </w:rPr>
        <w:t>（一）</w:t>
      </w:r>
      <w:r>
        <w:rPr>
          <w:rFonts w:hint="eastAsia" w:ascii="宋体" w:hAnsi="宋体"/>
          <w:b/>
          <w:sz w:val="24"/>
          <w:szCs w:val="24"/>
        </w:rPr>
        <w:t>采购</w:t>
      </w:r>
      <w:r>
        <w:rPr>
          <w:rFonts w:hint="eastAsia" w:ascii="宋体" w:hAnsi="宋体" w:cs="Arial"/>
          <w:b/>
          <w:sz w:val="24"/>
        </w:rPr>
        <w:t xml:space="preserve">人 </w:t>
      </w:r>
    </w:p>
    <w:p w14:paraId="6FF8F985">
      <w:pPr>
        <w:spacing w:line="360" w:lineRule="auto"/>
        <w:ind w:firstLine="480" w:firstLineChars="200"/>
        <w:rPr>
          <w:rFonts w:ascii="宋体" w:hAnsi="宋体" w:cs="Arial"/>
          <w:sz w:val="24"/>
        </w:rPr>
      </w:pPr>
      <w:r>
        <w:rPr>
          <w:rFonts w:hint="eastAsia" w:ascii="宋体" w:hAnsi="宋体" w:cs="Arial"/>
          <w:sz w:val="24"/>
        </w:rPr>
        <w:t>名  称：</w:t>
      </w:r>
      <w:r>
        <w:rPr>
          <w:rFonts w:hint="eastAsia" w:ascii="宋体" w:hAnsi="宋体" w:cs="Arial"/>
          <w:sz w:val="24"/>
          <w:u w:val="single"/>
        </w:rPr>
        <w:t>台州市中医院</w:t>
      </w:r>
    </w:p>
    <w:p w14:paraId="4457FCC7">
      <w:pPr>
        <w:spacing w:line="360" w:lineRule="auto"/>
        <w:ind w:firstLine="480" w:firstLineChars="200"/>
        <w:rPr>
          <w:rFonts w:ascii="宋体" w:hAnsi="宋体" w:cs="Arial"/>
          <w:sz w:val="24"/>
        </w:rPr>
      </w:pPr>
      <w:r>
        <w:rPr>
          <w:rFonts w:hint="eastAsia" w:ascii="宋体" w:hAnsi="宋体" w:cs="Arial"/>
          <w:sz w:val="24"/>
        </w:rPr>
        <w:t>地  址：</w:t>
      </w:r>
      <w:r>
        <w:rPr>
          <w:rFonts w:ascii="宋体" w:hAnsi="宋体" w:cs="Arial"/>
          <w:sz w:val="24"/>
          <w:u w:val="single"/>
        </w:rPr>
        <w:t>台州市椒江区中山西路278号</w:t>
      </w:r>
      <w:r>
        <w:rPr>
          <w:rFonts w:hint="eastAsia" w:ascii="宋体" w:hAnsi="宋体" w:cs="Arial"/>
          <w:sz w:val="24"/>
          <w:u w:val="single"/>
        </w:rPr>
        <w:t>　</w:t>
      </w:r>
    </w:p>
    <w:p w14:paraId="12ED1A1C">
      <w:pPr>
        <w:spacing w:line="360" w:lineRule="auto"/>
        <w:ind w:firstLine="480" w:firstLineChars="200"/>
        <w:rPr>
          <w:rFonts w:ascii="宋体" w:hAnsi="宋体" w:cs="Arial"/>
          <w:sz w:val="24"/>
        </w:rPr>
      </w:pPr>
      <w:r>
        <w:rPr>
          <w:rFonts w:hint="eastAsia" w:ascii="宋体" w:hAnsi="宋体" w:cs="Arial"/>
          <w:sz w:val="24"/>
        </w:rPr>
        <w:t>联系人：</w:t>
      </w:r>
      <w:r>
        <w:rPr>
          <w:rFonts w:hint="eastAsia" w:ascii="宋体" w:hAnsi="宋体" w:cs="Arial"/>
          <w:sz w:val="24"/>
          <w:u w:val="single"/>
        </w:rPr>
        <w:t xml:space="preserve">卢老师 </w:t>
      </w:r>
      <w:r>
        <w:rPr>
          <w:rFonts w:hint="eastAsia" w:ascii="宋体" w:hAnsi="宋体" w:cs="Arial"/>
          <w:sz w:val="24"/>
        </w:rPr>
        <w:t xml:space="preserve"> 　　</w:t>
      </w:r>
      <w:bookmarkStart w:id="17" w:name="_Toc28359086"/>
      <w:bookmarkStart w:id="18" w:name="_Toc28359009"/>
    </w:p>
    <w:p w14:paraId="0369FCCD">
      <w:pPr>
        <w:spacing w:line="360" w:lineRule="auto"/>
        <w:ind w:firstLine="480" w:firstLineChars="200"/>
        <w:rPr>
          <w:rFonts w:hint="default" w:ascii="宋体" w:hAnsi="宋体" w:eastAsia="宋体" w:cs="Arial"/>
          <w:sz w:val="24"/>
          <w:highlight w:val="none"/>
          <w:lang w:val="en-US" w:eastAsia="zh-CN"/>
        </w:rPr>
      </w:pPr>
      <w:r>
        <w:rPr>
          <w:rFonts w:hint="eastAsia" w:ascii="宋体" w:hAnsi="宋体" w:cs="Arial"/>
          <w:sz w:val="24"/>
          <w:highlight w:val="none"/>
        </w:rPr>
        <w:t>联系电话：</w:t>
      </w:r>
      <w:r>
        <w:rPr>
          <w:rFonts w:ascii="宋体" w:hAnsi="宋体" w:cs="Arial"/>
          <w:sz w:val="24"/>
          <w:highlight w:val="none"/>
          <w:u w:val="single"/>
        </w:rPr>
        <w:t>0576-8</w:t>
      </w:r>
      <w:r>
        <w:rPr>
          <w:rFonts w:hint="eastAsia" w:ascii="宋体" w:hAnsi="宋体" w:cs="Arial"/>
          <w:sz w:val="24"/>
          <w:highlight w:val="none"/>
          <w:u w:val="single"/>
          <w:lang w:val="en-US" w:eastAsia="zh-CN"/>
        </w:rPr>
        <w:t>8552562</w:t>
      </w:r>
    </w:p>
    <w:bookmarkEnd w:id="17"/>
    <w:bookmarkEnd w:id="18"/>
    <w:p w14:paraId="1A688EEC">
      <w:pPr>
        <w:spacing w:line="360" w:lineRule="auto"/>
        <w:ind w:firstLine="482" w:firstLineChars="200"/>
        <w:rPr>
          <w:rFonts w:ascii="宋体" w:hAnsi="宋体" w:cs="Arial"/>
          <w:b/>
          <w:sz w:val="24"/>
        </w:rPr>
      </w:pPr>
      <w:r>
        <w:rPr>
          <w:rFonts w:hint="eastAsia" w:ascii="宋体" w:hAnsi="宋体" w:cs="Arial"/>
          <w:b/>
          <w:sz w:val="24"/>
        </w:rPr>
        <w:t>（二</w:t>
      </w:r>
      <w:r>
        <w:rPr>
          <w:rFonts w:hint="eastAsia" w:ascii="宋体" w:hAnsi="宋体" w:cs="Arial"/>
          <w:b/>
          <w:sz w:val="24"/>
          <w:lang w:eastAsia="zh-CN"/>
        </w:rPr>
        <w:t>）</w:t>
      </w:r>
      <w:r>
        <w:rPr>
          <w:rFonts w:hint="eastAsia" w:ascii="宋体" w:hAnsi="宋体" w:cs="Arial"/>
          <w:b/>
          <w:sz w:val="24"/>
        </w:rPr>
        <w:t>质疑受理</w:t>
      </w:r>
    </w:p>
    <w:p w14:paraId="1531EDFD">
      <w:pPr>
        <w:spacing w:line="360" w:lineRule="auto"/>
        <w:ind w:firstLine="482" w:firstLineChars="201"/>
        <w:rPr>
          <w:rFonts w:hint="eastAsia" w:ascii="宋体" w:hAnsi="宋体" w:eastAsia="宋体" w:cs="Arial"/>
          <w:sz w:val="24"/>
          <w:u w:val="single"/>
          <w:lang w:val="en-US" w:eastAsia="zh-CN"/>
        </w:rPr>
      </w:pPr>
      <w:r>
        <w:rPr>
          <w:rFonts w:hint="eastAsia" w:ascii="宋体" w:hAnsi="宋体" w:cs="Arial"/>
          <w:sz w:val="24"/>
        </w:rPr>
        <w:t>质疑受理联系人：</w:t>
      </w:r>
      <w:r>
        <w:rPr>
          <w:rFonts w:hint="eastAsia" w:ascii="宋体" w:hAnsi="宋体" w:cs="Arial"/>
          <w:sz w:val="24"/>
          <w:lang w:val="en-US" w:eastAsia="zh-CN"/>
        </w:rPr>
        <w:t>方老师</w:t>
      </w:r>
    </w:p>
    <w:p w14:paraId="7013C1FB">
      <w:pPr>
        <w:spacing w:line="360" w:lineRule="auto"/>
        <w:ind w:firstLine="480" w:firstLineChars="200"/>
        <w:rPr>
          <w:rFonts w:hint="eastAsia" w:ascii="宋体" w:hAnsi="宋体"/>
          <w:sz w:val="24"/>
          <w:szCs w:val="24"/>
          <w:lang w:val="en-US" w:eastAsia="zh-CN"/>
        </w:rPr>
      </w:pPr>
      <w:r>
        <w:rPr>
          <w:rFonts w:hint="eastAsia" w:ascii="宋体" w:hAnsi="宋体" w:cs="Arial"/>
          <w:sz w:val="24"/>
        </w:rPr>
        <w:t>联系</w:t>
      </w:r>
      <w:r>
        <w:rPr>
          <w:rFonts w:hint="eastAsia" w:ascii="宋体" w:hAnsi="宋体"/>
          <w:sz w:val="24"/>
          <w:szCs w:val="24"/>
        </w:rPr>
        <w:t>电话</w:t>
      </w:r>
      <w:r>
        <w:rPr>
          <w:rFonts w:hint="eastAsia" w:ascii="宋体" w:hAnsi="宋体" w:cs="Arial"/>
          <w:sz w:val="24"/>
        </w:rPr>
        <w:t>：</w:t>
      </w:r>
      <w:r>
        <w:rPr>
          <w:rFonts w:hint="eastAsia" w:ascii="宋体" w:hAnsi="宋体"/>
          <w:sz w:val="24"/>
          <w:szCs w:val="24"/>
          <w:lang w:val="en-US" w:eastAsia="zh-CN"/>
        </w:rPr>
        <w:t>0576-88825740</w:t>
      </w:r>
    </w:p>
    <w:p w14:paraId="1941DD3F">
      <w:pPr>
        <w:pStyle w:val="2"/>
        <w:ind w:left="0" w:leftChars="0" w:firstLine="480" w:firstLineChars="200"/>
        <w:jc w:val="both"/>
        <w:rPr>
          <w:rFonts w:hint="default"/>
          <w:lang w:val="en-US"/>
        </w:rPr>
      </w:pPr>
      <w:bookmarkStart w:id="41" w:name="_GoBack"/>
      <w:bookmarkEnd w:id="41"/>
      <w:r>
        <w:rPr>
          <w:rFonts w:hint="eastAsia" w:hAnsi="宋体"/>
          <w:sz w:val="24"/>
          <w:szCs w:val="24"/>
          <w:lang w:val="en-US" w:eastAsia="zh-CN"/>
        </w:rPr>
        <w:t>纪检监督：0576-88825608</w:t>
      </w:r>
    </w:p>
    <w:p w14:paraId="7D65A70D">
      <w:pPr>
        <w:spacing w:line="360" w:lineRule="auto"/>
        <w:ind w:firstLine="480" w:firstLineChars="200"/>
        <w:rPr>
          <w:rFonts w:hint="default" w:ascii="宋体" w:hAnsi="宋体" w:eastAsia="宋体" w:cs="Arial"/>
          <w:sz w:val="24"/>
          <w:lang w:val="en-US" w:eastAsia="zh-CN"/>
        </w:rPr>
      </w:pPr>
      <w:r>
        <w:rPr>
          <w:rFonts w:hint="eastAsia" w:ascii="宋体" w:hAnsi="宋体" w:cs="Arial"/>
          <w:sz w:val="24"/>
        </w:rPr>
        <w:t>书面</w:t>
      </w:r>
      <w:r>
        <w:rPr>
          <w:rFonts w:hint="eastAsia" w:ascii="宋体" w:hAnsi="宋体"/>
          <w:sz w:val="24"/>
          <w:szCs w:val="24"/>
        </w:rPr>
        <w:t>质疑</w:t>
      </w:r>
      <w:r>
        <w:rPr>
          <w:rFonts w:hint="eastAsia" w:ascii="宋体" w:hAnsi="宋体" w:cs="Arial"/>
          <w:sz w:val="24"/>
        </w:rPr>
        <w:t>接收地址：</w:t>
      </w:r>
      <w:r>
        <w:rPr>
          <w:rFonts w:hint="eastAsia" w:ascii="宋体" w:hAnsi="宋体" w:cs="Arial"/>
          <w:sz w:val="24"/>
          <w:u w:val="single"/>
        </w:rPr>
        <w:t>浙江省台州市椒江区</w:t>
      </w:r>
      <w:r>
        <w:rPr>
          <w:rFonts w:hint="eastAsia" w:ascii="宋体" w:hAnsi="宋体" w:cs="Arial"/>
          <w:sz w:val="24"/>
          <w:u w:val="single"/>
          <w:lang w:val="en-US" w:eastAsia="zh-CN"/>
        </w:rPr>
        <w:t>中山西路278号台州市中医院4号楼三楼313室</w:t>
      </w:r>
    </w:p>
    <w:p w14:paraId="20171E20">
      <w:pPr>
        <w:spacing w:line="360" w:lineRule="auto"/>
        <w:rPr>
          <w:rFonts w:ascii="宋体" w:hAnsi="宋体"/>
          <w:sz w:val="24"/>
          <w:szCs w:val="24"/>
        </w:rPr>
      </w:pPr>
    </w:p>
    <w:p w14:paraId="71D59145">
      <w:pPr>
        <w:spacing w:line="360" w:lineRule="auto"/>
        <w:ind w:firstLine="5640" w:firstLineChars="2350"/>
        <w:jc w:val="right"/>
        <w:rPr>
          <w:rFonts w:ascii="宋体" w:hAnsi="宋体"/>
          <w:sz w:val="24"/>
          <w:szCs w:val="24"/>
        </w:rPr>
      </w:pPr>
    </w:p>
    <w:p w14:paraId="1CD8639E">
      <w:pPr>
        <w:spacing w:line="360" w:lineRule="auto"/>
        <w:jc w:val="right"/>
        <w:rPr>
          <w:rFonts w:hint="eastAsia" w:ascii="宋体" w:hAnsi="宋体" w:eastAsia="宋体"/>
          <w:sz w:val="24"/>
          <w:szCs w:val="24"/>
          <w:lang w:val="en-US" w:eastAsia="zh-CN"/>
        </w:rPr>
      </w:pPr>
      <w:r>
        <w:rPr>
          <w:rFonts w:hint="eastAsia" w:ascii="宋体" w:hAnsi="宋体"/>
          <w:sz w:val="24"/>
          <w:szCs w:val="24"/>
          <w:lang w:val="en-US" w:eastAsia="zh-CN"/>
        </w:rPr>
        <w:t>台州市中医院</w:t>
      </w:r>
    </w:p>
    <w:p w14:paraId="048551D7">
      <w:pPr>
        <w:pStyle w:val="2"/>
      </w:pPr>
      <w:r>
        <w:rPr>
          <w:rFonts w:hint="eastAsia"/>
        </w:rPr>
        <w:t>202</w:t>
      </w:r>
      <w:r>
        <w:rPr>
          <w:rFonts w:hint="eastAsia"/>
          <w:lang w:val="en-US" w:eastAsia="zh-CN"/>
        </w:rPr>
        <w:t>5年9</w:t>
      </w:r>
      <w:r>
        <w:rPr>
          <w:rFonts w:hint="eastAsia"/>
        </w:rPr>
        <w:t>月</w:t>
      </w:r>
      <w:r>
        <w:rPr>
          <w:rFonts w:hint="eastAsia"/>
          <w:lang w:val="en-US" w:eastAsia="zh-CN"/>
        </w:rPr>
        <w:t>12</w:t>
      </w:r>
      <w:r>
        <w:rPr>
          <w:rFonts w:hint="eastAsia"/>
        </w:rPr>
        <w:t>日</w:t>
      </w:r>
    </w:p>
    <w:p w14:paraId="2E597E0E">
      <w:pPr>
        <w:widowControl/>
        <w:jc w:val="left"/>
        <w:rPr>
          <w:rFonts w:ascii="宋体" w:hAnsi="宋体"/>
          <w:sz w:val="24"/>
          <w:szCs w:val="24"/>
        </w:rPr>
      </w:pPr>
      <w:r>
        <w:rPr>
          <w:rFonts w:ascii="宋体" w:hAnsi="宋体"/>
          <w:sz w:val="24"/>
          <w:szCs w:val="24"/>
        </w:rPr>
        <w:br w:type="page"/>
      </w:r>
    </w:p>
    <w:bookmarkEnd w:id="2"/>
    <w:p w14:paraId="5CF18D21">
      <w:pPr>
        <w:pStyle w:val="26"/>
        <w:rPr>
          <w:lang w:eastAsia="zh-CN"/>
        </w:rPr>
      </w:pPr>
      <w:bookmarkStart w:id="19" w:name="_Toc530562785"/>
      <w:bookmarkStart w:id="20" w:name="_Toc20349"/>
      <w:r>
        <w:rPr>
          <w:rFonts w:hint="eastAsia"/>
          <w:lang w:eastAsia="zh-CN"/>
        </w:rPr>
        <w:t>第二章</w:t>
      </w:r>
      <w:bookmarkEnd w:id="19"/>
      <w:r>
        <w:rPr>
          <w:rFonts w:hint="eastAsia"/>
          <w:lang w:eastAsia="zh-CN"/>
        </w:rPr>
        <w:t xml:space="preserve"> 磋商需求</w:t>
      </w:r>
      <w:bookmarkEnd w:id="20"/>
    </w:p>
    <w:p w14:paraId="6AED2065">
      <w:pPr>
        <w:tabs>
          <w:tab w:val="left" w:pos="8280"/>
        </w:tabs>
        <w:autoSpaceDE w:val="0"/>
        <w:autoSpaceDN w:val="0"/>
        <w:adjustRightInd w:val="0"/>
        <w:spacing w:line="360" w:lineRule="auto"/>
        <w:ind w:right="25"/>
        <w:rPr>
          <w:rFonts w:ascii="宋体" w:hAnsi="宋体"/>
          <w:b/>
          <w:sz w:val="28"/>
        </w:rPr>
      </w:pPr>
      <w:r>
        <w:rPr>
          <w:rFonts w:hint="eastAsia" w:ascii="宋体" w:hAnsi="宋体"/>
          <w:b/>
          <w:sz w:val="28"/>
        </w:rPr>
        <w:t>一、磋商项目一览表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8"/>
        <w:gridCol w:w="2248"/>
        <w:gridCol w:w="875"/>
        <w:gridCol w:w="1025"/>
        <w:gridCol w:w="1621"/>
        <w:gridCol w:w="1783"/>
      </w:tblGrid>
      <w:tr w14:paraId="72DA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70" w:type="pct"/>
            <w:vAlign w:val="center"/>
          </w:tcPr>
          <w:p w14:paraId="69EECDC8">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标项号</w:t>
            </w:r>
          </w:p>
        </w:tc>
        <w:tc>
          <w:tcPr>
            <w:tcW w:w="1289" w:type="pct"/>
            <w:vAlign w:val="center"/>
          </w:tcPr>
          <w:p w14:paraId="69C250DE">
            <w:pPr>
              <w:tabs>
                <w:tab w:val="left" w:pos="8280"/>
              </w:tabs>
              <w:autoSpaceDE w:val="0"/>
              <w:autoSpaceDN w:val="0"/>
              <w:adjustRightInd w:val="0"/>
              <w:ind w:firstLine="120" w:firstLineChars="50"/>
              <w:jc w:val="center"/>
              <w:rPr>
                <w:rFonts w:ascii="宋体" w:hAnsi="宋体" w:cs="宋体"/>
                <w:b/>
                <w:sz w:val="24"/>
                <w:szCs w:val="24"/>
              </w:rPr>
            </w:pPr>
            <w:r>
              <w:rPr>
                <w:rFonts w:hint="eastAsia" w:ascii="宋体" w:hAnsi="宋体" w:cs="宋体"/>
                <w:b/>
                <w:sz w:val="24"/>
                <w:szCs w:val="24"/>
              </w:rPr>
              <w:t>标项名称</w:t>
            </w:r>
          </w:p>
        </w:tc>
        <w:tc>
          <w:tcPr>
            <w:tcW w:w="502" w:type="pct"/>
            <w:vAlign w:val="center"/>
          </w:tcPr>
          <w:p w14:paraId="3DFB130B">
            <w:pPr>
              <w:tabs>
                <w:tab w:val="left" w:pos="8280"/>
              </w:tabs>
              <w:autoSpaceDE w:val="0"/>
              <w:autoSpaceDN w:val="0"/>
              <w:adjustRightInd w:val="0"/>
              <w:jc w:val="center"/>
              <w:rPr>
                <w:rFonts w:ascii="宋体" w:hAnsi="宋体" w:cs="宋体"/>
                <w:b/>
                <w:sz w:val="24"/>
                <w:szCs w:val="24"/>
              </w:rPr>
            </w:pPr>
            <w:r>
              <w:rPr>
                <w:rFonts w:hint="eastAsia" w:ascii="宋体" w:hAnsi="宋体" w:cs="宋体"/>
                <w:b/>
                <w:kern w:val="0"/>
                <w:sz w:val="24"/>
                <w:szCs w:val="24"/>
              </w:rPr>
              <w:t>数量</w:t>
            </w:r>
          </w:p>
        </w:tc>
        <w:tc>
          <w:tcPr>
            <w:tcW w:w="588" w:type="pct"/>
            <w:vAlign w:val="center"/>
          </w:tcPr>
          <w:p w14:paraId="5955730C">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单位</w:t>
            </w:r>
          </w:p>
        </w:tc>
        <w:tc>
          <w:tcPr>
            <w:tcW w:w="929" w:type="pct"/>
            <w:vAlign w:val="center"/>
          </w:tcPr>
          <w:p w14:paraId="0E62879E">
            <w:pPr>
              <w:tabs>
                <w:tab w:val="left" w:pos="8280"/>
              </w:tabs>
              <w:autoSpaceDE w:val="0"/>
              <w:autoSpaceDN w:val="0"/>
              <w:adjustRightInd w:val="0"/>
              <w:jc w:val="center"/>
              <w:rPr>
                <w:rFonts w:ascii="宋体" w:hAnsi="宋体" w:cs="宋体"/>
                <w:b/>
                <w:sz w:val="24"/>
                <w:szCs w:val="24"/>
              </w:rPr>
            </w:pPr>
            <w:r>
              <w:rPr>
                <w:rFonts w:hint="eastAsia" w:ascii="宋体" w:hAnsi="宋体" w:cs="宋体"/>
                <w:b/>
                <w:sz w:val="24"/>
                <w:szCs w:val="24"/>
              </w:rPr>
              <w:t>预算</w:t>
            </w:r>
          </w:p>
        </w:tc>
        <w:tc>
          <w:tcPr>
            <w:tcW w:w="1023" w:type="pct"/>
            <w:vAlign w:val="center"/>
          </w:tcPr>
          <w:p w14:paraId="2F433263">
            <w:pPr>
              <w:jc w:val="center"/>
              <w:rPr>
                <w:rFonts w:ascii="宋体" w:hAnsi="宋体" w:cs="宋体"/>
                <w:b/>
                <w:sz w:val="24"/>
                <w:szCs w:val="24"/>
              </w:rPr>
            </w:pPr>
            <w:r>
              <w:rPr>
                <w:rFonts w:hint="eastAsia" w:ascii="宋体" w:hAnsi="宋体" w:cs="宋体"/>
                <w:b/>
                <w:sz w:val="24"/>
                <w:szCs w:val="24"/>
              </w:rPr>
              <w:t>最高限价</w:t>
            </w:r>
          </w:p>
          <w:p w14:paraId="1BF7E468">
            <w:pPr>
              <w:jc w:val="center"/>
              <w:rPr>
                <w:rFonts w:ascii="宋体" w:hAnsi="宋体" w:cs="宋体"/>
                <w:b/>
                <w:sz w:val="24"/>
                <w:szCs w:val="24"/>
              </w:rPr>
            </w:pPr>
            <w:r>
              <w:rPr>
                <w:rFonts w:hint="eastAsia" w:ascii="宋体" w:hAnsi="宋体" w:cs="宋体"/>
                <w:b/>
                <w:sz w:val="24"/>
                <w:szCs w:val="24"/>
              </w:rPr>
              <w:t>（结算率）</w:t>
            </w:r>
          </w:p>
        </w:tc>
      </w:tr>
      <w:tr w14:paraId="3B131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70" w:type="pct"/>
            <w:vAlign w:val="center"/>
          </w:tcPr>
          <w:p w14:paraId="4C1D55F4">
            <w:pPr>
              <w:tabs>
                <w:tab w:val="left" w:pos="8280"/>
              </w:tabs>
              <w:autoSpaceDE w:val="0"/>
              <w:autoSpaceDN w:val="0"/>
              <w:adjustRightInd w:val="0"/>
              <w:jc w:val="center"/>
              <w:rPr>
                <w:rFonts w:ascii="宋体" w:hAnsi="宋体" w:cs="宋体"/>
                <w:sz w:val="24"/>
                <w:szCs w:val="24"/>
              </w:rPr>
            </w:pPr>
            <w:r>
              <w:rPr>
                <w:rFonts w:hint="eastAsia" w:ascii="宋体" w:hAnsi="宋体" w:cs="宋体"/>
                <w:sz w:val="24"/>
                <w:szCs w:val="24"/>
              </w:rPr>
              <w:t>1</w:t>
            </w:r>
          </w:p>
        </w:tc>
        <w:tc>
          <w:tcPr>
            <w:tcW w:w="1289" w:type="pct"/>
            <w:vAlign w:val="center"/>
          </w:tcPr>
          <w:p w14:paraId="03A4F518">
            <w:pPr>
              <w:tabs>
                <w:tab w:val="left" w:pos="8280"/>
              </w:tabs>
              <w:autoSpaceDE w:val="0"/>
              <w:autoSpaceDN w:val="0"/>
              <w:adjustRightInd w:val="0"/>
              <w:jc w:val="center"/>
              <w:rPr>
                <w:rFonts w:ascii="宋体" w:hAnsi="宋体" w:cs="宋体"/>
                <w:sz w:val="24"/>
                <w:szCs w:val="24"/>
              </w:rPr>
            </w:pPr>
            <w:r>
              <w:rPr>
                <w:rFonts w:hint="eastAsia" w:ascii="宋体" w:hAnsi="宋体" w:cs="宋体"/>
                <w:sz w:val="24"/>
              </w:rPr>
              <w:t>台州市中医院年度广告制作服务项目</w:t>
            </w:r>
          </w:p>
        </w:tc>
        <w:tc>
          <w:tcPr>
            <w:tcW w:w="502" w:type="pct"/>
            <w:vAlign w:val="center"/>
          </w:tcPr>
          <w:p w14:paraId="56AD933C">
            <w:pPr>
              <w:tabs>
                <w:tab w:val="left" w:pos="8280"/>
              </w:tabs>
              <w:autoSpaceDE w:val="0"/>
              <w:autoSpaceDN w:val="0"/>
              <w:adjustRightInd w:val="0"/>
              <w:jc w:val="center"/>
              <w:rPr>
                <w:rFonts w:hint="eastAsia" w:ascii="宋体" w:hAnsi="宋体" w:eastAsia="宋体" w:cs="宋体"/>
                <w:sz w:val="24"/>
                <w:szCs w:val="24"/>
                <w:lang w:eastAsia="zh-CN"/>
              </w:rPr>
            </w:pPr>
            <w:r>
              <w:rPr>
                <w:rFonts w:hint="eastAsia" w:ascii="宋体" w:hAnsi="宋体" w:cs="宋体"/>
                <w:sz w:val="24"/>
                <w:szCs w:val="24"/>
                <w:lang w:val="en-US" w:eastAsia="zh-CN"/>
              </w:rPr>
              <w:t>3</w:t>
            </w:r>
          </w:p>
        </w:tc>
        <w:tc>
          <w:tcPr>
            <w:tcW w:w="588" w:type="pct"/>
            <w:vAlign w:val="center"/>
          </w:tcPr>
          <w:p w14:paraId="666AE915">
            <w:pPr>
              <w:tabs>
                <w:tab w:val="left" w:pos="8280"/>
              </w:tabs>
              <w:autoSpaceDE w:val="0"/>
              <w:autoSpaceDN w:val="0"/>
              <w:adjustRightInd w:val="0"/>
              <w:jc w:val="center"/>
              <w:rPr>
                <w:rFonts w:ascii="宋体" w:hAnsi="宋体" w:cs="宋体"/>
                <w:sz w:val="24"/>
                <w:szCs w:val="24"/>
              </w:rPr>
            </w:pPr>
            <w:r>
              <w:rPr>
                <w:rFonts w:ascii="宋体" w:hAnsi="宋体" w:cs="宋体"/>
                <w:sz w:val="24"/>
                <w:szCs w:val="24"/>
              </w:rPr>
              <w:t>年</w:t>
            </w:r>
          </w:p>
        </w:tc>
        <w:tc>
          <w:tcPr>
            <w:tcW w:w="929" w:type="pct"/>
            <w:vAlign w:val="center"/>
          </w:tcPr>
          <w:p w14:paraId="77619379">
            <w:pPr>
              <w:autoSpaceDE w:val="0"/>
              <w:autoSpaceDN w:val="0"/>
              <w:adjustRightInd w:val="0"/>
              <w:jc w:val="center"/>
              <w:rPr>
                <w:rFonts w:ascii="宋体" w:hAnsi="宋体" w:cs="宋体"/>
                <w:sz w:val="24"/>
                <w:szCs w:val="24"/>
              </w:rPr>
            </w:pPr>
            <w:r>
              <w:rPr>
                <w:rFonts w:hint="eastAsia" w:ascii="宋体" w:hAnsi="宋体" w:cs="宋体"/>
                <w:sz w:val="24"/>
                <w:szCs w:val="24"/>
              </w:rPr>
              <w:t>约10万元/年</w:t>
            </w:r>
          </w:p>
        </w:tc>
        <w:tc>
          <w:tcPr>
            <w:tcW w:w="1023" w:type="pct"/>
            <w:vAlign w:val="center"/>
          </w:tcPr>
          <w:p w14:paraId="5D6E208B">
            <w:pPr>
              <w:autoSpaceDE w:val="0"/>
              <w:autoSpaceDN w:val="0"/>
              <w:adjustRightInd w:val="0"/>
              <w:jc w:val="center"/>
              <w:rPr>
                <w:rFonts w:ascii="宋体" w:hAnsi="宋体" w:cs="宋体"/>
                <w:sz w:val="24"/>
                <w:szCs w:val="24"/>
              </w:rPr>
            </w:pPr>
            <w:r>
              <w:rPr>
                <w:rFonts w:hint="eastAsia" w:ascii="宋体" w:hAnsi="宋体" w:cs="宋体"/>
                <w:sz w:val="24"/>
                <w:szCs w:val="24"/>
              </w:rPr>
              <w:t>100%</w:t>
            </w:r>
          </w:p>
        </w:tc>
      </w:tr>
    </w:tbl>
    <w:p w14:paraId="6716AD14">
      <w:pPr>
        <w:numPr>
          <w:ilvl w:val="0"/>
          <w:numId w:val="2"/>
        </w:numPr>
        <w:tabs>
          <w:tab w:val="left" w:pos="8280"/>
        </w:tabs>
        <w:autoSpaceDE w:val="0"/>
        <w:autoSpaceDN w:val="0"/>
        <w:adjustRightInd w:val="0"/>
        <w:spacing w:line="360" w:lineRule="auto"/>
        <w:ind w:right="25"/>
        <w:rPr>
          <w:rFonts w:ascii="宋体" w:hAnsi="宋体"/>
          <w:b/>
          <w:sz w:val="28"/>
        </w:rPr>
      </w:pPr>
      <w:bookmarkStart w:id="21" w:name="_Toc530562786"/>
      <w:r>
        <w:rPr>
          <w:rFonts w:hint="eastAsia" w:ascii="宋体" w:hAnsi="宋体"/>
          <w:b/>
          <w:sz w:val="28"/>
        </w:rPr>
        <w:t>技术需求</w:t>
      </w:r>
    </w:p>
    <w:p w14:paraId="17113DEF">
      <w:pPr>
        <w:pStyle w:val="28"/>
        <w:spacing w:after="0" w:line="360" w:lineRule="auto"/>
        <w:ind w:firstLine="482" w:firstLineChars="200"/>
        <w:rPr>
          <w:rFonts w:cs="宋体"/>
          <w:b/>
          <w:bCs/>
          <w:sz w:val="24"/>
        </w:rPr>
      </w:pPr>
      <w:bookmarkStart w:id="22" w:name="_Toc21621"/>
      <w:bookmarkStart w:id="23" w:name="_Toc17949"/>
      <w:bookmarkStart w:id="24" w:name="_Toc17759"/>
      <w:bookmarkStart w:id="25" w:name="_Toc31829"/>
      <w:bookmarkStart w:id="26" w:name="_Toc24537"/>
      <w:bookmarkStart w:id="27" w:name="_Toc13108"/>
      <w:bookmarkStart w:id="28" w:name="_Toc18206"/>
      <w:r>
        <w:rPr>
          <w:rFonts w:hint="eastAsia" w:cs="宋体"/>
          <w:b/>
          <w:bCs/>
          <w:sz w:val="24"/>
        </w:rPr>
        <w:t>（一）</w:t>
      </w:r>
      <w:bookmarkEnd w:id="22"/>
      <w:bookmarkEnd w:id="23"/>
      <w:bookmarkEnd w:id="24"/>
      <w:bookmarkEnd w:id="25"/>
      <w:bookmarkEnd w:id="26"/>
      <w:bookmarkEnd w:id="27"/>
      <w:r>
        <w:rPr>
          <w:rFonts w:hint="eastAsia" w:cs="宋体"/>
          <w:b/>
          <w:bCs/>
          <w:sz w:val="24"/>
        </w:rPr>
        <w:t>采购清单</w:t>
      </w:r>
    </w:p>
    <w:p w14:paraId="286E0F85">
      <w:pPr>
        <w:spacing w:line="360" w:lineRule="auto"/>
        <w:ind w:firstLine="480" w:firstLineChars="200"/>
        <w:rPr>
          <w:rFonts w:ascii="宋体" w:hAnsi="宋体" w:cs="宋体"/>
          <w:kern w:val="0"/>
          <w:sz w:val="24"/>
          <w:szCs w:val="21"/>
        </w:rPr>
      </w:pPr>
      <w:bookmarkStart w:id="29" w:name="_Toc108600238"/>
      <w:bookmarkEnd w:id="29"/>
      <w:bookmarkStart w:id="30" w:name="_Toc25924"/>
      <w:r>
        <w:rPr>
          <w:rFonts w:hint="eastAsia" w:ascii="宋体" w:hAnsi="宋体" w:cs="宋体"/>
          <w:kern w:val="0"/>
          <w:sz w:val="24"/>
          <w:szCs w:val="21"/>
        </w:rPr>
        <w:t>详见《年度广告制作服务项目采购清单》（另册提供）。</w:t>
      </w:r>
    </w:p>
    <w:p w14:paraId="756D2B1D">
      <w:pPr>
        <w:pStyle w:val="28"/>
        <w:spacing w:after="0" w:line="360" w:lineRule="auto"/>
        <w:ind w:firstLine="482" w:firstLineChars="200"/>
        <w:rPr>
          <w:rFonts w:hAnsi="宋体" w:cs="宋体"/>
          <w:b/>
          <w:bCs/>
          <w:sz w:val="24"/>
        </w:rPr>
      </w:pPr>
      <w:r>
        <w:rPr>
          <w:rFonts w:hint="eastAsia" w:hAnsi="宋体" w:cs="宋体"/>
          <w:b/>
          <w:bCs/>
          <w:sz w:val="24"/>
        </w:rPr>
        <w:t>（二）服务要求</w:t>
      </w:r>
    </w:p>
    <w:bookmarkEnd w:id="30"/>
    <w:p w14:paraId="3A536C15">
      <w:pPr>
        <w:pStyle w:val="28"/>
        <w:spacing w:after="0" w:line="360" w:lineRule="auto"/>
        <w:ind w:firstLine="480" w:firstLineChars="200"/>
        <w:rPr>
          <w:rFonts w:hAnsi="宋体" w:cs="宋体"/>
          <w:sz w:val="24"/>
        </w:rPr>
      </w:pPr>
      <w:r>
        <w:rPr>
          <w:rFonts w:hint="eastAsia" w:hAnsi="宋体" w:cs="宋体"/>
          <w:sz w:val="24"/>
        </w:rPr>
        <w:t>1.供应商必须严格按照采购人的要求进行设计、制作、安装和维护</w:t>
      </w:r>
      <w:r>
        <w:rPr>
          <w:rFonts w:hint="eastAsia" w:hAnsi="宋体" w:cs="宋体"/>
          <w:sz w:val="24"/>
          <w:lang w:eastAsia="zh-CN"/>
        </w:rPr>
        <w:t>，</w:t>
      </w:r>
      <w:r>
        <w:rPr>
          <w:rFonts w:hint="eastAsia" w:hAnsi="宋体" w:cs="宋体"/>
          <w:sz w:val="24"/>
          <w:lang w:val="en-US" w:eastAsia="zh-CN"/>
        </w:rPr>
        <w:t>配送的广告默认都需安装</w:t>
      </w:r>
      <w:r>
        <w:rPr>
          <w:rFonts w:hint="eastAsia" w:hAnsi="宋体" w:cs="宋体"/>
          <w:sz w:val="24"/>
        </w:rPr>
        <w:t>。</w:t>
      </w:r>
    </w:p>
    <w:p w14:paraId="4D3D0C9E">
      <w:pPr>
        <w:pStyle w:val="28"/>
        <w:spacing w:after="0" w:line="360" w:lineRule="auto"/>
        <w:ind w:firstLine="480" w:firstLineChars="200"/>
        <w:rPr>
          <w:rFonts w:hAnsi="宋体" w:cs="宋体"/>
          <w:sz w:val="24"/>
        </w:rPr>
      </w:pPr>
      <w:r>
        <w:rPr>
          <w:rFonts w:hint="eastAsia" w:hAnsi="宋体" w:cs="宋体"/>
          <w:sz w:val="24"/>
        </w:rPr>
        <w:t>2.采购人对供应商提供的版面内容有权提出修改意见，供应商应根据采购人的要求进行修改，并不得因此增加结算费用；若因供应商设计未能达到采购人需求，此项目视为失败，采购人无需向供应商支付任何费用。</w:t>
      </w:r>
    </w:p>
    <w:p w14:paraId="6830B5CF">
      <w:pPr>
        <w:pStyle w:val="28"/>
        <w:spacing w:after="0" w:line="360" w:lineRule="auto"/>
        <w:ind w:firstLine="480" w:firstLineChars="200"/>
        <w:rPr>
          <w:rFonts w:hAnsi="宋体" w:cs="宋体"/>
          <w:sz w:val="24"/>
        </w:rPr>
      </w:pPr>
      <w:r>
        <w:rPr>
          <w:rFonts w:hint="eastAsia" w:hAnsi="宋体" w:cs="宋体"/>
          <w:sz w:val="24"/>
        </w:rPr>
        <w:t>3.所有</w:t>
      </w:r>
      <w:r>
        <w:rPr>
          <w:rFonts w:hint="eastAsia" w:asciiTheme="minorEastAsia" w:hAnsiTheme="minorEastAsia" w:eastAsiaTheme="minorEastAsia"/>
          <w:sz w:val="24"/>
        </w:rPr>
        <w:t>广告制品</w:t>
      </w:r>
      <w:r>
        <w:rPr>
          <w:rFonts w:hint="eastAsia" w:hAnsi="宋体" w:cs="宋体"/>
          <w:sz w:val="24"/>
        </w:rPr>
        <w:t>必须在正式制作前向采购人提交设计定稿，经采购人修改认定后提交定稿由采购人签字确认。采购人有权要求成交供应商提供</w:t>
      </w:r>
      <w:r>
        <w:rPr>
          <w:rFonts w:hint="eastAsia" w:hAnsi="宋体" w:cs="宋体"/>
          <w:sz w:val="24"/>
          <w:lang w:val="en-US" w:eastAsia="zh-CN"/>
        </w:rPr>
        <w:t>免费</w:t>
      </w:r>
      <w:r>
        <w:rPr>
          <w:rFonts w:hint="eastAsia" w:hAnsi="宋体" w:cs="宋体"/>
          <w:sz w:val="24"/>
        </w:rPr>
        <w:t>样品。</w:t>
      </w:r>
    </w:p>
    <w:p w14:paraId="2C7FA20D">
      <w:pPr>
        <w:pStyle w:val="28"/>
        <w:spacing w:after="0" w:line="360" w:lineRule="auto"/>
        <w:ind w:firstLine="480" w:firstLineChars="200"/>
        <w:rPr>
          <w:rFonts w:hAnsi="宋体" w:cs="宋体"/>
          <w:sz w:val="24"/>
        </w:rPr>
      </w:pPr>
      <w:r>
        <w:rPr>
          <w:rFonts w:hint="eastAsia" w:hAnsi="宋体" w:cs="宋体"/>
          <w:sz w:val="24"/>
        </w:rPr>
        <w:t>4.所有</w:t>
      </w:r>
      <w:r>
        <w:rPr>
          <w:rFonts w:hint="eastAsia" w:asciiTheme="minorEastAsia" w:hAnsiTheme="minorEastAsia" w:eastAsiaTheme="minorEastAsia"/>
          <w:sz w:val="24"/>
        </w:rPr>
        <w:t>广告制品</w:t>
      </w:r>
      <w:r>
        <w:rPr>
          <w:rFonts w:hint="eastAsia" w:hAnsi="宋体" w:cs="宋体"/>
          <w:sz w:val="24"/>
        </w:rPr>
        <w:t>所用到的材料、工艺、制作的成品质量必须符合行业标准，产品符合采购人要求，油墨均匀一致、文字清晰、画面清楚、图案色彩鲜艳；所用纸张符合采购人需求；版面平整干净，没有污渍、脏点、糊版及不正常显色等现象，胶头或胶边整齐一致，不得有毛边，尺寸准确；在运输、贮存过程中不允许扔、砸、踏，不得受雨雪或液体物质的淋袭和机械损伤；安装须端正、美观、安全、牢固，户外成品应有良好的防湿、防锈、防潮、防雨、防腐等措施。</w:t>
      </w:r>
    </w:p>
    <w:p w14:paraId="40AAD51A">
      <w:pPr>
        <w:pStyle w:val="28"/>
        <w:spacing w:after="0" w:line="360" w:lineRule="auto"/>
        <w:ind w:firstLine="480" w:firstLineChars="200"/>
        <w:rPr>
          <w:rFonts w:hint="eastAsia" w:hAnsi="宋体" w:cs="宋体"/>
          <w:sz w:val="24"/>
        </w:rPr>
      </w:pPr>
      <w:r>
        <w:rPr>
          <w:rFonts w:hint="eastAsia" w:hAnsi="宋体" w:cs="宋体"/>
          <w:sz w:val="24"/>
        </w:rPr>
        <w:t>5.</w:t>
      </w:r>
      <w:r>
        <w:rPr>
          <w:rFonts w:hAnsi="宋体" w:cs="宋体"/>
          <w:sz w:val="24"/>
        </w:rPr>
        <w:t xml:space="preserve"> </w:t>
      </w:r>
      <w:r>
        <w:rPr>
          <w:rFonts w:hint="eastAsia" w:hAnsi="宋体" w:cs="宋体"/>
          <w:sz w:val="24"/>
        </w:rPr>
        <w:t>合同履行期间应保证</w:t>
      </w:r>
      <w:r>
        <w:rPr>
          <w:rFonts w:hint="eastAsia" w:asciiTheme="minorEastAsia" w:hAnsiTheme="minorEastAsia" w:eastAsiaTheme="minorEastAsia"/>
          <w:sz w:val="24"/>
        </w:rPr>
        <w:t>广告制品</w:t>
      </w:r>
      <w:r>
        <w:rPr>
          <w:rFonts w:hint="eastAsia" w:hAnsi="宋体" w:cs="宋体"/>
          <w:sz w:val="24"/>
        </w:rPr>
        <w:t>所用材料是合格正品且是未使用过的，并完全符合质量和性能的要求；对于本项目的技术、工艺或材料缺陷以及其他，因供应商的原因造成的任何不足由供应商负责，费用由供应商全部承担。</w:t>
      </w:r>
    </w:p>
    <w:p w14:paraId="14EA742F">
      <w:pPr>
        <w:pStyle w:val="28"/>
        <w:spacing w:after="0" w:line="360" w:lineRule="auto"/>
        <w:ind w:firstLine="480" w:firstLineChars="200"/>
        <w:rPr>
          <w:rFonts w:hAnsi="宋体" w:cs="宋体"/>
          <w:sz w:val="24"/>
        </w:rPr>
      </w:pPr>
      <w:r>
        <w:rPr>
          <w:rFonts w:hint="eastAsia" w:hAnsi="宋体" w:cs="宋体"/>
          <w:sz w:val="24"/>
        </w:rPr>
        <w:t>6. 供应商每季度对帐须提供效果图、签字单</w:t>
      </w:r>
      <w:r>
        <w:rPr>
          <w:rFonts w:hint="eastAsia" w:hAnsi="宋体" w:cs="宋体"/>
          <w:kern w:val="2"/>
          <w:sz w:val="24"/>
          <w:szCs w:val="22"/>
        </w:rPr>
        <w:t>（经采购人签章的</w:t>
      </w:r>
      <w:r>
        <w:rPr>
          <w:rFonts w:hint="eastAsia" w:asciiTheme="minorEastAsia" w:hAnsiTheme="minorEastAsia" w:eastAsiaTheme="minorEastAsia"/>
          <w:sz w:val="24"/>
        </w:rPr>
        <w:t>验收合格证明书）</w:t>
      </w:r>
      <w:r>
        <w:rPr>
          <w:rFonts w:hint="eastAsia" w:hAnsi="宋体" w:cs="宋体"/>
          <w:sz w:val="24"/>
        </w:rPr>
        <w:t>，保证相关广告物料制作的真实性及安装后售后服务；项目安装后需提供现场安装好的照片，确保项目顺利完成。</w:t>
      </w:r>
    </w:p>
    <w:p w14:paraId="19B1C936">
      <w:pPr>
        <w:pStyle w:val="28"/>
        <w:spacing w:after="0" w:line="360" w:lineRule="auto"/>
        <w:ind w:firstLine="480" w:firstLineChars="200"/>
        <w:rPr>
          <w:rFonts w:hAnsi="宋体" w:cs="宋体"/>
          <w:sz w:val="24"/>
        </w:rPr>
      </w:pPr>
      <w:r>
        <w:rPr>
          <w:rFonts w:hint="eastAsia" w:hAnsi="宋体" w:cs="宋体"/>
          <w:sz w:val="24"/>
        </w:rPr>
        <w:t>7.交货要求</w:t>
      </w:r>
    </w:p>
    <w:p w14:paraId="5004C70F">
      <w:pPr>
        <w:pStyle w:val="28"/>
        <w:spacing w:after="0" w:line="360" w:lineRule="auto"/>
        <w:ind w:firstLine="480" w:firstLineChars="200"/>
        <w:rPr>
          <w:rFonts w:hAnsi="宋体" w:cs="宋体"/>
          <w:sz w:val="24"/>
        </w:rPr>
      </w:pPr>
      <w:r>
        <w:rPr>
          <w:rFonts w:hint="eastAsia" w:hAnsi="宋体" w:cs="宋体"/>
          <w:sz w:val="24"/>
        </w:rPr>
        <w:t>（1）常规项目制作时长：5个工作日以内（自采购人提出需求至完成安装）；紧急项目制作时长：根据采购人提出的具体事情和规定时间而定，不得因加班而拒绝项目完成。</w:t>
      </w:r>
    </w:p>
    <w:p w14:paraId="132EF490">
      <w:pPr>
        <w:pStyle w:val="28"/>
        <w:spacing w:after="0" w:line="360" w:lineRule="auto"/>
        <w:ind w:firstLine="480" w:firstLineChars="200"/>
        <w:rPr>
          <w:rFonts w:hAnsi="宋体" w:cs="宋体"/>
          <w:sz w:val="24"/>
        </w:rPr>
      </w:pPr>
      <w:r>
        <w:rPr>
          <w:rFonts w:hint="eastAsia" w:hAnsi="宋体" w:cs="宋体"/>
          <w:sz w:val="24"/>
        </w:rPr>
        <w:t>（2）成交供应商须按采购人要求对</w:t>
      </w:r>
      <w:r>
        <w:rPr>
          <w:rFonts w:hint="eastAsia" w:asciiTheme="minorEastAsia" w:hAnsiTheme="minorEastAsia" w:eastAsiaTheme="minorEastAsia"/>
          <w:sz w:val="24"/>
        </w:rPr>
        <w:t>广告制品</w:t>
      </w:r>
      <w:r>
        <w:rPr>
          <w:rFonts w:hint="eastAsia" w:hAnsi="宋体" w:cs="宋体"/>
          <w:sz w:val="24"/>
        </w:rPr>
        <w:t>进行送货、安装，成交供应商在送货、安装后，应由采购人在送货单或验收证明上签字确认。</w:t>
      </w:r>
    </w:p>
    <w:p w14:paraId="13CCA007">
      <w:pPr>
        <w:pStyle w:val="28"/>
        <w:spacing w:after="0" w:line="360" w:lineRule="auto"/>
        <w:ind w:firstLine="480" w:firstLineChars="200"/>
        <w:rPr>
          <w:rFonts w:hAnsi="宋体" w:cs="宋体"/>
          <w:sz w:val="24"/>
        </w:rPr>
      </w:pPr>
      <w:r>
        <w:rPr>
          <w:rFonts w:hint="eastAsia" w:hAnsi="宋体" w:cs="宋体"/>
          <w:sz w:val="24"/>
        </w:rPr>
        <w:t>（3）供应商要确保</w:t>
      </w:r>
      <w:r>
        <w:rPr>
          <w:rFonts w:hint="eastAsia" w:asciiTheme="minorEastAsia" w:hAnsiTheme="minorEastAsia" w:eastAsiaTheme="minorEastAsia"/>
          <w:sz w:val="24"/>
        </w:rPr>
        <w:t>广告制品</w:t>
      </w:r>
      <w:r>
        <w:rPr>
          <w:rFonts w:hint="eastAsia" w:hAnsi="宋体" w:cs="宋体"/>
          <w:sz w:val="24"/>
        </w:rPr>
        <w:t>安装安全、牢固，安装工作人员的安全保障</w:t>
      </w:r>
      <w:r>
        <w:rPr>
          <w:rFonts w:hint="eastAsia" w:hAnsi="宋体" w:cs="宋体"/>
          <w:sz w:val="24"/>
          <w:lang w:val="en-US" w:eastAsia="zh-CN"/>
        </w:rPr>
        <w:t>以及</w:t>
      </w:r>
      <w:r>
        <w:rPr>
          <w:rFonts w:hint="eastAsia" w:hAnsi="宋体" w:cs="宋体"/>
          <w:sz w:val="24"/>
        </w:rPr>
        <w:t>安装工作中的一切安全责任</w:t>
      </w:r>
      <w:bookmarkStart w:id="31" w:name="OLE_LINK4"/>
      <w:r>
        <w:rPr>
          <w:rFonts w:hint="eastAsia" w:hAnsi="宋体" w:cs="宋体"/>
          <w:sz w:val="24"/>
        </w:rPr>
        <w:t>均由供应商承担</w:t>
      </w:r>
      <w:bookmarkEnd w:id="31"/>
      <w:r>
        <w:rPr>
          <w:rFonts w:hint="eastAsia" w:hAnsi="宋体" w:cs="宋体"/>
          <w:sz w:val="24"/>
        </w:rPr>
        <w:t>。</w:t>
      </w:r>
    </w:p>
    <w:p w14:paraId="51B09D0B">
      <w:pPr>
        <w:pStyle w:val="28"/>
        <w:spacing w:after="0" w:line="360" w:lineRule="auto"/>
        <w:ind w:firstLine="480" w:firstLineChars="200"/>
        <w:rPr>
          <w:rFonts w:hAnsi="宋体" w:cs="宋体"/>
          <w:sz w:val="24"/>
        </w:rPr>
      </w:pPr>
      <w:r>
        <w:rPr>
          <w:rFonts w:hint="eastAsia" w:hAnsi="宋体" w:cs="宋体"/>
          <w:sz w:val="24"/>
        </w:rPr>
        <w:t>8.服务原则</w:t>
      </w:r>
    </w:p>
    <w:p w14:paraId="145CFEA5">
      <w:pPr>
        <w:pStyle w:val="28"/>
        <w:spacing w:after="0" w:line="360" w:lineRule="auto"/>
        <w:ind w:firstLine="480" w:firstLineChars="200"/>
        <w:rPr>
          <w:rFonts w:hAnsi="宋体" w:cs="宋体"/>
          <w:sz w:val="24"/>
        </w:rPr>
      </w:pPr>
      <w:r>
        <w:rPr>
          <w:rFonts w:hint="eastAsia" w:hAnsi="宋体" w:cs="宋体"/>
          <w:sz w:val="24"/>
        </w:rPr>
        <w:t>（1）成交供应商所提供的服务内容应当遵纪守法，不违背相关政策及行政法规，遵循公平、诚实信用的原则，符合社会主义精神文明建设的基本要求。所有设计作品的内容要做到思想健康、品质优良。</w:t>
      </w:r>
    </w:p>
    <w:p w14:paraId="514D1E35">
      <w:pPr>
        <w:pStyle w:val="28"/>
        <w:spacing w:after="0" w:line="360" w:lineRule="auto"/>
        <w:ind w:firstLine="480" w:firstLineChars="200"/>
        <w:rPr>
          <w:rFonts w:hAnsi="宋体" w:cs="宋体"/>
          <w:sz w:val="24"/>
        </w:rPr>
      </w:pPr>
      <w:r>
        <w:rPr>
          <w:rFonts w:hint="eastAsia" w:hAnsi="宋体" w:cs="宋体"/>
          <w:sz w:val="24"/>
        </w:rPr>
        <w:t>（2）如出现特殊情况需要成交供应商配合采购人按时完成服务内容的，供应商应无条件服从并积极配合采购人的工作安排。</w:t>
      </w:r>
    </w:p>
    <w:p w14:paraId="380B7431">
      <w:pPr>
        <w:pStyle w:val="28"/>
        <w:spacing w:after="0" w:line="360" w:lineRule="auto"/>
        <w:ind w:firstLine="480" w:firstLineChars="200"/>
        <w:rPr>
          <w:rFonts w:hAnsi="宋体" w:cs="宋体"/>
          <w:sz w:val="24"/>
        </w:rPr>
      </w:pPr>
      <w:r>
        <w:rPr>
          <w:rFonts w:hint="eastAsia" w:hAnsi="宋体" w:cs="宋体"/>
          <w:sz w:val="24"/>
        </w:rPr>
        <w:t>（3）合同签订后，采购人不对成交供应商承诺实际承接业务量，成交供应商须积极配合，不得拒绝，并在采购人要求的时间内完成广告制作等任务，否则视为成交供应商违约，采购人有权终止合同。</w:t>
      </w:r>
    </w:p>
    <w:p w14:paraId="68626467">
      <w:pPr>
        <w:pStyle w:val="28"/>
        <w:spacing w:after="0" w:line="360" w:lineRule="auto"/>
        <w:ind w:firstLine="480" w:firstLineChars="200"/>
        <w:rPr>
          <w:rFonts w:hAnsi="宋体" w:cs="宋体"/>
          <w:sz w:val="24"/>
        </w:rPr>
      </w:pPr>
      <w:r>
        <w:rPr>
          <w:rFonts w:hint="eastAsia" w:hAnsi="宋体" w:cs="宋体"/>
          <w:sz w:val="24"/>
        </w:rPr>
        <w:t>（4）为便于与采购人就活动细节等方面进行适时沟通联系、及时处理和反馈，并使项目按质、按量、按时、有序实施，成交供应商应保证安排1-2名设计师专门对接</w:t>
      </w:r>
      <w:r>
        <w:rPr>
          <w:rFonts w:hint="eastAsia" w:hAnsi="宋体" w:cs="宋体"/>
          <w:sz w:val="24"/>
          <w:lang w:val="en-US" w:eastAsia="zh-CN"/>
        </w:rPr>
        <w:t>以及1-2名安装人员随时待命</w:t>
      </w:r>
      <w:r>
        <w:rPr>
          <w:rFonts w:hint="eastAsia" w:hAnsi="宋体" w:cs="宋体"/>
          <w:sz w:val="24"/>
        </w:rPr>
        <w:t>。</w:t>
      </w:r>
    </w:p>
    <w:p w14:paraId="47EEF712">
      <w:pPr>
        <w:pStyle w:val="28"/>
        <w:spacing w:after="0" w:line="360" w:lineRule="auto"/>
        <w:ind w:firstLine="480" w:firstLineChars="200"/>
        <w:rPr>
          <w:rFonts w:hAnsi="宋体" w:cs="宋体"/>
          <w:sz w:val="24"/>
        </w:rPr>
      </w:pPr>
      <w:r>
        <w:rPr>
          <w:rFonts w:hint="eastAsia" w:hAnsi="宋体" w:cs="宋体"/>
          <w:sz w:val="24"/>
        </w:rPr>
        <w:t>（5）供应商不得将承接的业务对外转包，不得以任何理由违反质量标准，降低作业质量。</w:t>
      </w:r>
    </w:p>
    <w:p w14:paraId="369AA7AF">
      <w:pPr>
        <w:pStyle w:val="28"/>
        <w:spacing w:after="0" w:line="360" w:lineRule="auto"/>
        <w:ind w:firstLine="480" w:firstLineChars="200"/>
        <w:rPr>
          <w:rFonts w:hAnsi="宋体" w:cs="宋体"/>
          <w:sz w:val="24"/>
        </w:rPr>
      </w:pPr>
      <w:r>
        <w:rPr>
          <w:rFonts w:hint="eastAsia" w:hAnsi="宋体" w:cs="宋体"/>
          <w:sz w:val="24"/>
        </w:rPr>
        <w:t>（6）广告内容必须符合中华人民共和国《广告法》，采购人提供画面内容，设计样稿经采购人审核确认后，供应商负责制作、安装、发布。</w:t>
      </w:r>
    </w:p>
    <w:p w14:paraId="3B0174BA">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b/>
          <w:kern w:val="0"/>
          <w:sz w:val="24"/>
        </w:rPr>
      </w:pPr>
      <w:r>
        <w:rPr>
          <w:rFonts w:hint="eastAsia" w:asciiTheme="minorEastAsia" w:hAnsiTheme="minorEastAsia" w:eastAsiaTheme="minorEastAsia"/>
          <w:b/>
          <w:kern w:val="0"/>
          <w:sz w:val="24"/>
        </w:rPr>
        <w:t>（三）验收要求</w:t>
      </w:r>
    </w:p>
    <w:p w14:paraId="6F860DCD">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1.每次项目完成后5个日历天内，由</w:t>
      </w:r>
      <w:r>
        <w:rPr>
          <w:rFonts w:hint="eastAsia" w:asciiTheme="minorEastAsia" w:hAnsiTheme="minorEastAsia" w:eastAsiaTheme="minorEastAsia"/>
          <w:kern w:val="0"/>
          <w:sz w:val="24"/>
          <w:lang w:bidi="en-US"/>
        </w:rPr>
        <w:t>采购人或采购人</w:t>
      </w:r>
      <w:r>
        <w:rPr>
          <w:rFonts w:hint="eastAsia" w:asciiTheme="minorEastAsia" w:hAnsiTheme="minorEastAsia" w:eastAsiaTheme="minorEastAsia"/>
          <w:kern w:val="0"/>
          <w:sz w:val="24"/>
          <w:highlight w:val="none"/>
          <w:lang w:bidi="en-US"/>
        </w:rPr>
        <w:t>委托的第三方</w:t>
      </w:r>
      <w:r>
        <w:rPr>
          <w:rFonts w:hint="eastAsia" w:asciiTheme="minorEastAsia" w:hAnsiTheme="minorEastAsia" w:eastAsiaTheme="minorEastAsia"/>
          <w:kern w:val="0"/>
          <w:sz w:val="24"/>
          <w:highlight w:val="none"/>
        </w:rPr>
        <w:t>进行验收。</w:t>
      </w:r>
      <w:r>
        <w:rPr>
          <w:rFonts w:hint="eastAsia" w:asciiTheme="minorEastAsia" w:hAnsiTheme="minorEastAsia" w:eastAsiaTheme="minorEastAsia"/>
          <w:kern w:val="0"/>
          <w:sz w:val="24"/>
        </w:rPr>
        <w:t>如果质量不合格或有部分内容尚未完成的，供应商应根据采购人的修改意见，在商定的期限内按要求进行修改后，再进行验收，直至达到标准和要求为止，由此造成的一切费用均由供应商承担。验收合格后，采购人在验收合格证明书上签章。</w:t>
      </w:r>
    </w:p>
    <w:p w14:paraId="1A803CF3">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2.采购人组成验收小组按相关标准进行验收，必要时邀请相关的专业人员或机构参与验收。</w:t>
      </w:r>
    </w:p>
    <w:p w14:paraId="64CD5A8C">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b/>
          <w:kern w:val="0"/>
          <w:sz w:val="24"/>
        </w:rPr>
      </w:pPr>
      <w:r>
        <w:rPr>
          <w:rFonts w:hint="eastAsia" w:asciiTheme="minorEastAsia" w:hAnsiTheme="minorEastAsia" w:eastAsiaTheme="minorEastAsia"/>
          <w:b/>
          <w:kern w:val="0"/>
          <w:sz w:val="24"/>
        </w:rPr>
        <w:t>（四）质量保证及售后服务</w:t>
      </w:r>
    </w:p>
    <w:p w14:paraId="1D260F8E">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1.成交供应商应提供三包服务，服务方式均为上门服务。即由服务单位派员收回、维修、维护、送货，由此产生的一切费用均由成交供应商承担。</w:t>
      </w:r>
    </w:p>
    <w:p w14:paraId="3526DFD6">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2.供应商负责广告制品的全程安全。如在广告制作、运输、安装过程中</w:t>
      </w:r>
      <w:r>
        <w:rPr>
          <w:rFonts w:hint="eastAsia" w:asciiTheme="minorEastAsia" w:hAnsiTheme="minorEastAsia" w:eastAsiaTheme="minorEastAsia"/>
          <w:kern w:val="0"/>
          <w:sz w:val="24"/>
          <w:lang w:val="en-US" w:eastAsia="zh-CN"/>
        </w:rPr>
        <w:t>以及安装后</w:t>
      </w:r>
      <w:r>
        <w:rPr>
          <w:rFonts w:hint="eastAsia" w:hAnsi="宋体" w:cs="宋体"/>
          <w:sz w:val="24"/>
          <w:lang w:val="en-US" w:eastAsia="zh-CN"/>
        </w:rPr>
        <w:t>因广告制品坠落、倒塌等造成人员人身伤害或财产损失的</w:t>
      </w:r>
      <w:r>
        <w:rPr>
          <w:rFonts w:hint="eastAsia" w:asciiTheme="minorEastAsia" w:hAnsiTheme="minorEastAsia" w:eastAsiaTheme="minorEastAsia"/>
          <w:kern w:val="0"/>
          <w:sz w:val="24"/>
        </w:rPr>
        <w:t>，一切损失由成交供应商自行承担。</w:t>
      </w:r>
    </w:p>
    <w:p w14:paraId="36F20C68">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3.因乙方排版、设计等环节造成的文字错漏，</w:t>
      </w:r>
      <w:r>
        <w:rPr>
          <w:rFonts w:hint="eastAsia" w:asciiTheme="minorEastAsia" w:hAnsiTheme="minorEastAsia" w:eastAsiaTheme="minorEastAsia"/>
          <w:kern w:val="0"/>
          <w:sz w:val="24"/>
          <w:lang w:val="en-US" w:eastAsia="zh-CN"/>
        </w:rPr>
        <w:t>乙方</w:t>
      </w:r>
      <w:r>
        <w:rPr>
          <w:rFonts w:hint="eastAsia" w:asciiTheme="minorEastAsia" w:hAnsiTheme="minorEastAsia" w:eastAsiaTheme="minorEastAsia"/>
          <w:kern w:val="0"/>
          <w:sz w:val="24"/>
        </w:rPr>
        <w:t>须无条件免费修改</w:t>
      </w:r>
      <w:r>
        <w:rPr>
          <w:rFonts w:hint="eastAsia" w:asciiTheme="minorEastAsia" w:hAnsiTheme="minorEastAsia" w:eastAsiaTheme="minorEastAsia"/>
          <w:kern w:val="0"/>
          <w:sz w:val="24"/>
          <w:lang w:val="en-US" w:eastAsia="zh-CN"/>
        </w:rPr>
        <w:t>重印</w:t>
      </w:r>
      <w:r>
        <w:rPr>
          <w:rFonts w:hint="eastAsia" w:asciiTheme="minorEastAsia" w:hAnsiTheme="minorEastAsia" w:eastAsiaTheme="minorEastAsia"/>
          <w:kern w:val="0"/>
          <w:sz w:val="24"/>
        </w:rPr>
        <w:t>。成品验收之日起</w:t>
      </w:r>
      <w:r>
        <w:rPr>
          <w:rFonts w:hint="eastAsia" w:asciiTheme="minorEastAsia" w:hAnsiTheme="minorEastAsia" w:eastAsiaTheme="minorEastAsia"/>
          <w:kern w:val="0"/>
          <w:sz w:val="24"/>
          <w:lang w:val="en-US" w:eastAsia="zh-CN"/>
        </w:rPr>
        <w:t>质保期</w:t>
      </w:r>
      <w:r>
        <w:rPr>
          <w:rFonts w:hint="eastAsia" w:asciiTheme="minorEastAsia" w:hAnsiTheme="minorEastAsia" w:eastAsiaTheme="minorEastAsia"/>
          <w:kern w:val="0"/>
          <w:sz w:val="24"/>
        </w:rPr>
        <w:t>内发现质量问题的，成交供应商负责免费调换，并承担由此给采购人造成的所有损失。</w:t>
      </w:r>
    </w:p>
    <w:p w14:paraId="216E8893">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 xml:space="preserve">4.在使用期内，由于设计、制造（包括材料、工艺及加工质量）、安装、运输等原因（非供应商自身原因、不可抗力因素除外）导致的故障、损坏，由供应商无偿修理、更换，直至恢复（达到）合同规定的质量和性能参数要求。户外广告的设置必须采取有效保证其结构安全、可靠、应及时进行更新、维护、保养，并定期进行安全检查。 </w:t>
      </w:r>
    </w:p>
    <w:p w14:paraId="1528A958">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5.成交供应商擅自更改画面、尺寸、材质等造成损失的，所有责任由成交供应商承担。</w:t>
      </w:r>
    </w:p>
    <w:p w14:paraId="2787C278">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6.因质量和售后服务原因引起的不良后果，由成交供应商负责处理，承担相应的责任，情况特别严重的可取消其供应商的服务资格。</w:t>
      </w:r>
    </w:p>
    <w:p w14:paraId="226B545C">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7.对采购人的维修、维护等售后服务通知，</w:t>
      </w:r>
      <w:r>
        <w:rPr>
          <w:rFonts w:hint="eastAsia" w:asciiTheme="minorEastAsia" w:hAnsiTheme="minorEastAsia" w:eastAsiaTheme="minorEastAsia"/>
          <w:kern w:val="0"/>
          <w:sz w:val="24"/>
          <w:lang w:val="en-US" w:eastAsia="zh-CN"/>
        </w:rPr>
        <w:t>包括前供应商提供的广告制品，</w:t>
      </w:r>
      <w:r>
        <w:rPr>
          <w:rFonts w:hint="eastAsia" w:asciiTheme="minorEastAsia" w:hAnsiTheme="minorEastAsia" w:eastAsiaTheme="minorEastAsia"/>
          <w:kern w:val="0"/>
          <w:sz w:val="24"/>
        </w:rPr>
        <w:t>供应商需在接报后2小时内响应，4小时内到达现场，在采购人规定的时间内处理完毕。</w:t>
      </w:r>
    </w:p>
    <w:p w14:paraId="06B58FA6">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napToGrid w:val="0"/>
        <w:spacing w:before="156" w:beforeLines="50" w:line="360" w:lineRule="auto"/>
        <w:ind w:right="23" w:firstLine="482" w:firstLineChars="200"/>
        <w:jc w:val="left"/>
        <w:rPr>
          <w:rFonts w:asciiTheme="minorEastAsia" w:hAnsiTheme="minorEastAsia" w:eastAsiaTheme="minorEastAsia"/>
          <w:b/>
          <w:bCs/>
          <w:sz w:val="24"/>
        </w:rPr>
      </w:pPr>
      <w:r>
        <w:rPr>
          <w:rFonts w:hint="eastAsia" w:asciiTheme="minorEastAsia" w:hAnsiTheme="minorEastAsia" w:eastAsiaTheme="minorEastAsia"/>
          <w:b/>
          <w:bCs/>
          <w:sz w:val="24"/>
        </w:rPr>
        <w:t>（</w:t>
      </w:r>
      <w:r>
        <w:rPr>
          <w:rFonts w:hint="eastAsia" w:asciiTheme="minorEastAsia" w:hAnsiTheme="minorEastAsia" w:eastAsiaTheme="minorEastAsia"/>
          <w:b/>
          <w:bCs/>
          <w:sz w:val="24"/>
          <w:lang w:val="en-US" w:eastAsia="zh-CN"/>
        </w:rPr>
        <w:t>五</w:t>
      </w:r>
      <w:r>
        <w:rPr>
          <w:rFonts w:hint="eastAsia" w:asciiTheme="minorEastAsia" w:hAnsiTheme="minorEastAsia" w:eastAsiaTheme="minorEastAsia"/>
          <w:b/>
          <w:bCs/>
          <w:sz w:val="24"/>
        </w:rPr>
        <w:t>）知识产权</w:t>
      </w:r>
    </w:p>
    <w:p w14:paraId="41019027">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1.供应商向采购人交付的项目作品及相关知识产权成果，不能侵犯他人肖像权、著作权、商标权、外观专利、企业名称（含企业字号、商号、标识）等合法、在先的知识产权、民事权利。</w:t>
      </w:r>
    </w:p>
    <w:p w14:paraId="1F6595DD">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2.供应商应保证采购人不受到第三方关于知识产权侵权的指控，任何第三方如果提出侵权指控，成交供应商应与第三方交涉并承担可能发生的一切法律责任，并按赔偿采购人由此而产生一切的相关经济损失。</w:t>
      </w:r>
    </w:p>
    <w:p w14:paraId="6F1EC00A">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3.供应商履行本合同期间所产生的知识产权成果及其权利归属仅归采购人一方所有，采购人有权通过任何媒体永久性免费使用。供应商不享有上述任何知识产权权利，不得自行实施或者使用，也不得将本合同项下的上述相关知识产权泄露、转让或者许可给第三方，不得对外披露或者公布。</w:t>
      </w:r>
    </w:p>
    <w:p w14:paraId="53B41097">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napToGrid w:val="0"/>
        <w:spacing w:before="156" w:beforeLines="50" w:line="360" w:lineRule="auto"/>
        <w:ind w:right="23" w:firstLine="482" w:firstLineChars="200"/>
        <w:jc w:val="left"/>
        <w:rPr>
          <w:rFonts w:asciiTheme="minorEastAsia" w:hAnsiTheme="minorEastAsia" w:eastAsiaTheme="minorEastAsia"/>
          <w:b/>
          <w:bCs/>
          <w:sz w:val="24"/>
        </w:rPr>
      </w:pPr>
      <w:r>
        <w:rPr>
          <w:rFonts w:hint="eastAsia" w:asciiTheme="minorEastAsia" w:hAnsiTheme="minorEastAsia" w:eastAsiaTheme="minorEastAsia"/>
          <w:b/>
          <w:bCs/>
          <w:sz w:val="24"/>
        </w:rPr>
        <w:t>（</w:t>
      </w:r>
      <w:r>
        <w:rPr>
          <w:rFonts w:hint="eastAsia" w:asciiTheme="minorEastAsia" w:hAnsiTheme="minorEastAsia" w:eastAsiaTheme="minorEastAsia"/>
          <w:b/>
          <w:bCs/>
          <w:sz w:val="24"/>
          <w:lang w:val="en-US" w:eastAsia="zh-CN"/>
        </w:rPr>
        <w:t>六</w:t>
      </w:r>
      <w:r>
        <w:rPr>
          <w:rFonts w:hint="eastAsia" w:asciiTheme="minorEastAsia" w:hAnsiTheme="minorEastAsia" w:eastAsiaTheme="minorEastAsia"/>
          <w:b/>
          <w:bCs/>
          <w:sz w:val="24"/>
        </w:rPr>
        <w:t>）其他违约责任</w:t>
      </w:r>
    </w:p>
    <w:p w14:paraId="77BDEA5E">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供应商出现以下情况的，采购人有权取消项目的委托，并取消服务资格：</w:t>
      </w:r>
    </w:p>
    <w:p w14:paraId="521562C5">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1.采购人发出工作任务后，</w:t>
      </w:r>
      <w:r>
        <w:rPr>
          <w:rFonts w:hint="eastAsia" w:asciiTheme="minorEastAsia" w:hAnsiTheme="minorEastAsia" w:eastAsiaTheme="minorEastAsia"/>
          <w:kern w:val="0"/>
          <w:sz w:val="24"/>
          <w:highlight w:val="none"/>
        </w:rPr>
        <w:t>逾期</w:t>
      </w:r>
      <w:r>
        <w:rPr>
          <w:rFonts w:hint="eastAsia" w:asciiTheme="minorEastAsia" w:hAnsiTheme="minorEastAsia" w:eastAsiaTheme="minorEastAsia"/>
          <w:kern w:val="0"/>
          <w:sz w:val="24"/>
          <w:highlight w:val="none"/>
          <w:lang w:val="en-US" w:eastAsia="zh-CN"/>
        </w:rPr>
        <w:t>1</w:t>
      </w:r>
      <w:r>
        <w:rPr>
          <w:rFonts w:hint="eastAsia" w:asciiTheme="minorEastAsia" w:hAnsiTheme="minorEastAsia" w:eastAsiaTheme="minorEastAsia"/>
          <w:kern w:val="0"/>
          <w:sz w:val="24"/>
          <w:highlight w:val="none"/>
        </w:rPr>
        <w:t>个工作日</w:t>
      </w:r>
      <w:r>
        <w:rPr>
          <w:rFonts w:hint="eastAsia" w:asciiTheme="minorEastAsia" w:hAnsiTheme="minorEastAsia" w:eastAsiaTheme="minorEastAsia"/>
          <w:kern w:val="0"/>
          <w:sz w:val="24"/>
        </w:rPr>
        <w:t>不响应的；</w:t>
      </w:r>
    </w:p>
    <w:p w14:paraId="6ACA5697">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2.在服务期限内无故放弃采购人委派工作任务达</w:t>
      </w:r>
      <w:r>
        <w:rPr>
          <w:rFonts w:hint="eastAsia" w:asciiTheme="minorEastAsia" w:hAnsiTheme="minorEastAsia" w:eastAsiaTheme="minorEastAsia"/>
          <w:kern w:val="0"/>
          <w:sz w:val="24"/>
          <w:lang w:val="en-US" w:eastAsia="zh-CN"/>
        </w:rPr>
        <w:t>2</w:t>
      </w:r>
      <w:r>
        <w:rPr>
          <w:rFonts w:hint="eastAsia" w:asciiTheme="minorEastAsia" w:hAnsiTheme="minorEastAsia" w:eastAsiaTheme="minorEastAsia"/>
          <w:kern w:val="0"/>
          <w:sz w:val="24"/>
        </w:rPr>
        <w:t>次的；</w:t>
      </w:r>
    </w:p>
    <w:p w14:paraId="14ADE445">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3.若因自身原因，未能按约定的项目时限完成项目工作达3次的（具体每项项目的完成时间，除特殊情况外，以合同约定的完成时限为准）；</w:t>
      </w:r>
    </w:p>
    <w:p w14:paraId="24DA4BC4">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4.未按采购人的技术要求完成有关工作，例如供应商应保证人员、设备未严格按照采购人的时限、质量、数量按时按质按数到位，未按采购人要求履行该项工作，造成出现质量、安全与环保等问题，造成一定经济损失，影响较大的；</w:t>
      </w:r>
    </w:p>
    <w:p w14:paraId="4E4721C2">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5.采购人查实供应商及其相关人员存在以下行为之一的：</w:t>
      </w:r>
    </w:p>
    <w:p w14:paraId="63B036DA">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（1）徇私舞弊、弄虚作假；</w:t>
      </w:r>
    </w:p>
    <w:p w14:paraId="0B45327A">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（2）违反国家、省及财政部门有关保密规定，泄露工作时知悉的国家机密和商业秘密；</w:t>
      </w:r>
    </w:p>
    <w:p w14:paraId="4F356A65">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（3）未经业务委托部门同意，向项目以外的其他单位或个人披露本项目工作的有关信息，对不参与工作人员提供、泄露或公开本项目工作有关情况；</w:t>
      </w:r>
    </w:p>
    <w:p w14:paraId="4C5B0FC7">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（4）与其他第三方个人或组织等串通，违反诚实信用和响应承诺，谋取非法利益或损害政府利益；</w:t>
      </w:r>
    </w:p>
    <w:p w14:paraId="63155D81">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（5）引起诉讼或纠纷，给本项目工作造成损失或严重后果的。</w:t>
      </w:r>
    </w:p>
    <w:p w14:paraId="0EE62444">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6.拒绝接受采购人监督检查和管理；</w:t>
      </w:r>
    </w:p>
    <w:p w14:paraId="5D145807">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7.在合同服务期内，出现信用危机、财务危机、经营危机，甚至破产无法继续履行合同的；</w:t>
      </w:r>
    </w:p>
    <w:p w14:paraId="59748F4B">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Theme="minorEastAsia" w:hAnsiTheme="minorEastAsia" w:eastAsiaTheme="minorEastAsia"/>
          <w:kern w:val="0"/>
          <w:sz w:val="24"/>
        </w:rPr>
      </w:pPr>
      <w:r>
        <w:rPr>
          <w:rFonts w:hint="eastAsia" w:asciiTheme="minorEastAsia" w:hAnsiTheme="minorEastAsia" w:eastAsiaTheme="minorEastAsia"/>
          <w:kern w:val="0"/>
          <w:sz w:val="24"/>
        </w:rPr>
        <w:t>8.在服务期限内，被行政主管部门明令取消、暂停、禁止参与投标且在处罚有效期内。</w:t>
      </w:r>
    </w:p>
    <w:p w14:paraId="02A6D5F5">
      <w:pPr>
        <w:numPr>
          <w:ilvl w:val="0"/>
          <w:numId w:val="2"/>
        </w:numPr>
        <w:tabs>
          <w:tab w:val="left" w:pos="8280"/>
        </w:tabs>
        <w:autoSpaceDE w:val="0"/>
        <w:autoSpaceDN w:val="0"/>
        <w:adjustRightInd w:val="0"/>
        <w:spacing w:line="360" w:lineRule="auto"/>
        <w:ind w:right="25"/>
        <w:rPr>
          <w:rFonts w:ascii="宋体" w:hAnsi="宋体" w:cs="宋体"/>
          <w:b/>
          <w:sz w:val="24"/>
          <w:szCs w:val="24"/>
        </w:rPr>
      </w:pPr>
      <w:r>
        <w:rPr>
          <w:rFonts w:hint="eastAsia" w:ascii="宋体" w:hAnsi="宋体" w:cs="宋体"/>
          <w:b/>
          <w:sz w:val="24"/>
          <w:szCs w:val="24"/>
        </w:rPr>
        <w:t>商务需求</w:t>
      </w:r>
    </w:p>
    <w:p w14:paraId="498B79F8">
      <w:pPr>
        <w:pStyle w:val="28"/>
        <w:spacing w:after="0" w:line="360" w:lineRule="auto"/>
        <w:ind w:firstLine="482" w:firstLineChars="200"/>
        <w:rPr>
          <w:rFonts w:hAnsi="宋体" w:cs="宋体"/>
          <w:sz w:val="24"/>
          <w:szCs w:val="21"/>
        </w:rPr>
      </w:pPr>
      <w:r>
        <w:rPr>
          <w:rFonts w:hint="eastAsia" w:cs="宋体"/>
          <w:b/>
          <w:bCs/>
          <w:sz w:val="24"/>
        </w:rPr>
        <w:t>（一）报价要求</w:t>
      </w:r>
      <w:r>
        <w:rPr>
          <w:rFonts w:hint="eastAsia" w:ascii="宋体" w:hAnsi="宋体" w:cs="宋体"/>
          <w:b/>
          <w:kern w:val="2"/>
          <w:sz w:val="24"/>
          <w:szCs w:val="24"/>
        </w:rPr>
        <w:t>：</w:t>
      </w:r>
    </w:p>
    <w:p w14:paraId="3D190F98">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kern w:val="0"/>
          <w:sz w:val="24"/>
          <w:szCs w:val="21"/>
        </w:rPr>
      </w:pPr>
      <w:r>
        <w:rPr>
          <w:rFonts w:hint="eastAsia" w:ascii="宋体" w:hAnsi="宋体" w:cs="宋体"/>
          <w:kern w:val="0"/>
          <w:sz w:val="24"/>
          <w:szCs w:val="21"/>
        </w:rPr>
        <w:t>1.响应报价应是磋商文件所确定的采购范围内全部工作内容的价格表现。其应包括采购清单内的所有项目设计、排版、材料价（纸张、耗材等）、制作、送货、安装、税费、人工、管理费等一切费用。磋商文件未列明，而供应商认为必需的费用也需列入报价。</w:t>
      </w:r>
    </w:p>
    <w:p w14:paraId="05E8CFCD">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hint="default" w:ascii="宋体" w:hAnsi="宋体" w:eastAsia="宋体" w:cs="宋体"/>
          <w:kern w:val="0"/>
          <w:sz w:val="24"/>
          <w:szCs w:val="21"/>
          <w:highlight w:val="none"/>
          <w:lang w:val="en-US" w:eastAsia="zh-CN"/>
        </w:rPr>
      </w:pPr>
      <w:r>
        <w:rPr>
          <w:rFonts w:hint="eastAsia" w:ascii="宋体" w:hAnsi="宋体" w:cs="宋体"/>
          <w:kern w:val="0"/>
          <w:sz w:val="24"/>
          <w:szCs w:val="21"/>
        </w:rPr>
        <w:t>2.本项目以结算率形式报价，结算时按采购清单（另册提供）各项目综合单价乘以成交结算率、经审定的供货数量计取，合同期内清单综合单价、成交结算率不进行调整，相关风险由供应商报价时自行考虑。</w:t>
      </w:r>
      <w:r>
        <w:rPr>
          <w:rFonts w:hint="eastAsia" w:ascii="宋体" w:hAnsi="宋体" w:cs="宋体"/>
          <w:kern w:val="0"/>
          <w:sz w:val="24"/>
          <w:szCs w:val="21"/>
          <w:highlight w:val="none"/>
          <w:lang w:val="en-US" w:eastAsia="zh-CN"/>
        </w:rPr>
        <w:t>对于采购清单外项目，参照采购清单内类似品类价格。</w:t>
      </w:r>
    </w:p>
    <w:p w14:paraId="1AA19B11">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kern w:val="0"/>
          <w:sz w:val="24"/>
          <w:szCs w:val="21"/>
        </w:rPr>
      </w:pPr>
      <w:r>
        <w:rPr>
          <w:rFonts w:hint="eastAsia" w:ascii="宋体" w:hAnsi="宋体" w:cs="宋体"/>
          <w:kern w:val="0"/>
          <w:sz w:val="24"/>
          <w:szCs w:val="21"/>
        </w:rPr>
        <w:t>3.本项目最高限价（结算率）为100%（含100%），超过最高限价（结算率）的报价其响应无效。</w:t>
      </w:r>
    </w:p>
    <w:p w14:paraId="407C7E17">
      <w:pPr>
        <w:pStyle w:val="28"/>
        <w:spacing w:after="0" w:line="360" w:lineRule="auto"/>
        <w:ind w:firstLine="482" w:firstLineChars="200"/>
        <w:rPr>
          <w:rFonts w:cs="宋体"/>
          <w:b/>
          <w:bCs/>
          <w:sz w:val="24"/>
        </w:rPr>
      </w:pPr>
      <w:r>
        <w:rPr>
          <w:rFonts w:hint="eastAsia" w:cs="宋体"/>
          <w:b/>
          <w:bCs/>
          <w:sz w:val="24"/>
        </w:rPr>
        <w:t>（二）付款方式：</w:t>
      </w:r>
    </w:p>
    <w:p w14:paraId="532100E8">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kern w:val="0"/>
          <w:sz w:val="24"/>
          <w:szCs w:val="21"/>
        </w:rPr>
      </w:pPr>
      <w:bookmarkStart w:id="32" w:name="_Toc7618"/>
      <w:r>
        <w:rPr>
          <w:rFonts w:hint="eastAsia" w:ascii="宋体" w:hAnsi="宋体" w:cs="宋体"/>
          <w:kern w:val="0"/>
          <w:sz w:val="24"/>
          <w:szCs w:val="21"/>
        </w:rPr>
        <w:t>本项目合同每季度结算一次，以采购人提供的采购清单各项目综合单价为基准价，乘以成交结算率及经采购人审定的供货数量进行结算。</w:t>
      </w:r>
    </w:p>
    <w:p w14:paraId="55C51446">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b/>
          <w:kern w:val="0"/>
          <w:sz w:val="24"/>
          <w:szCs w:val="21"/>
        </w:rPr>
      </w:pPr>
      <w:r>
        <w:rPr>
          <w:rFonts w:hint="eastAsia" w:ascii="宋体" w:hAnsi="宋体" w:cs="宋体"/>
          <w:b/>
          <w:kern w:val="0"/>
          <w:sz w:val="24"/>
          <w:szCs w:val="21"/>
        </w:rPr>
        <w:t>即：结算价</w:t>
      </w:r>
      <w:r>
        <w:rPr>
          <w:rFonts w:ascii="宋体" w:hAnsi="宋体" w:cs="宋体"/>
          <w:b/>
          <w:kern w:val="0"/>
          <w:sz w:val="24"/>
          <w:szCs w:val="21"/>
        </w:rPr>
        <w:t>=</w:t>
      </w:r>
      <w:r>
        <w:rPr>
          <w:rFonts w:hint="eastAsia" w:ascii="宋体" w:hAnsi="宋体" w:cs="宋体"/>
          <w:b/>
          <w:kern w:val="0"/>
          <w:sz w:val="24"/>
          <w:szCs w:val="21"/>
        </w:rPr>
        <w:t>∑</w:t>
      </w:r>
      <w:r>
        <w:rPr>
          <w:rFonts w:ascii="宋体" w:hAnsi="宋体" w:cs="宋体"/>
          <w:b/>
          <w:kern w:val="0"/>
          <w:sz w:val="24"/>
          <w:szCs w:val="21"/>
        </w:rPr>
        <w:t>（清单</w:t>
      </w:r>
      <w:r>
        <w:rPr>
          <w:rFonts w:hint="eastAsia" w:ascii="宋体" w:hAnsi="宋体" w:cs="宋体"/>
          <w:b/>
          <w:kern w:val="0"/>
          <w:sz w:val="24"/>
          <w:szCs w:val="21"/>
        </w:rPr>
        <w:t>综合单价</w:t>
      </w:r>
      <w:r>
        <w:rPr>
          <w:rFonts w:ascii="宋体" w:hAnsi="宋体" w:cs="宋体"/>
          <w:b/>
          <w:kern w:val="0"/>
          <w:sz w:val="24"/>
          <w:szCs w:val="21"/>
        </w:rPr>
        <w:t>×审定供货数量×</w:t>
      </w:r>
      <w:r>
        <w:rPr>
          <w:rFonts w:hint="eastAsia" w:ascii="宋体" w:hAnsi="宋体" w:cs="宋体"/>
          <w:b/>
          <w:kern w:val="0"/>
          <w:sz w:val="24"/>
          <w:szCs w:val="21"/>
        </w:rPr>
        <w:t>成交结算率</w:t>
      </w:r>
      <w:r>
        <w:rPr>
          <w:rFonts w:ascii="宋体" w:hAnsi="宋体" w:cs="宋体"/>
          <w:b/>
          <w:kern w:val="0"/>
          <w:sz w:val="24"/>
          <w:szCs w:val="21"/>
        </w:rPr>
        <w:t>）</w:t>
      </w:r>
    </w:p>
    <w:bookmarkEnd w:id="32"/>
    <w:p w14:paraId="3EF42AF5">
      <w:pPr>
        <w:pStyle w:val="13"/>
        <w:spacing w:after="0" w:line="360" w:lineRule="auto"/>
        <w:ind w:firstLine="482" w:firstLineChars="200"/>
        <w:rPr>
          <w:rFonts w:hAnsi="宋体" w:cs="宋体"/>
          <w:kern w:val="0"/>
          <w:sz w:val="24"/>
          <w:szCs w:val="20"/>
        </w:rPr>
      </w:pPr>
      <w:r>
        <w:rPr>
          <w:rFonts w:hint="eastAsia" w:ascii="宋体" w:hAnsi="宋体" w:cs="宋体"/>
          <w:b/>
          <w:sz w:val="24"/>
          <w:szCs w:val="24"/>
        </w:rPr>
        <w:t>（三）合同签订：</w:t>
      </w:r>
    </w:p>
    <w:p w14:paraId="1DA8A6FA">
      <w:pPr>
        <w:pStyle w:val="13"/>
        <w:spacing w:after="0" w:line="360" w:lineRule="auto"/>
        <w:ind w:firstLine="480" w:firstLineChars="200"/>
        <w:rPr>
          <w:rFonts w:ascii="宋体" w:hAnsi="宋体" w:cs="宋体"/>
          <w:kern w:val="0"/>
          <w:sz w:val="24"/>
          <w:szCs w:val="21"/>
        </w:rPr>
      </w:pPr>
      <w:r>
        <w:rPr>
          <w:rFonts w:ascii="宋体" w:hAnsi="宋体" w:cs="宋体"/>
          <w:kern w:val="0"/>
          <w:sz w:val="24"/>
          <w:szCs w:val="21"/>
        </w:rPr>
        <w:t>采购人应当自成交通知书发出之日起30日内，按照磋商采购文件和成交供应商响应文件内容要求，与成交供应商签订书面合同。所签订的合同不得对磋商文件确定的事项和成交供应商响应文件作实质性修改。成交后30天未签订合同的，采购人可以按照评审报告推荐的成交候选供应商名单排序，确定下一候选人为</w:t>
      </w:r>
      <w:r>
        <w:rPr>
          <w:rFonts w:hint="eastAsia" w:ascii="宋体" w:hAnsi="宋体" w:cs="宋体"/>
          <w:kern w:val="0"/>
          <w:sz w:val="24"/>
          <w:szCs w:val="21"/>
        </w:rPr>
        <w:t>候选供应商</w:t>
      </w:r>
      <w:r>
        <w:rPr>
          <w:rFonts w:ascii="宋体" w:hAnsi="宋体" w:cs="宋体"/>
          <w:kern w:val="0"/>
          <w:sz w:val="24"/>
          <w:szCs w:val="21"/>
        </w:rPr>
        <w:t>，也可以重新开展采购活动。</w:t>
      </w:r>
    </w:p>
    <w:p w14:paraId="3DB5C990">
      <w:pPr>
        <w:pStyle w:val="13"/>
        <w:numPr>
          <w:ilvl w:val="0"/>
          <w:numId w:val="3"/>
        </w:numPr>
        <w:spacing w:after="0" w:line="360" w:lineRule="auto"/>
        <w:ind w:firstLine="482" w:firstLineChars="200"/>
      </w:pPr>
      <w:r>
        <w:rPr>
          <w:rFonts w:hint="eastAsia" w:ascii="宋体" w:hAnsi="宋体" w:cs="宋体"/>
          <w:b/>
          <w:sz w:val="24"/>
          <w:szCs w:val="24"/>
        </w:rPr>
        <w:t>履约保证金：</w:t>
      </w:r>
      <w:r>
        <w:rPr>
          <w:rFonts w:hint="eastAsia" w:ascii="宋体" w:hAnsi="宋体" w:cs="宋体"/>
          <w:sz w:val="24"/>
          <w:szCs w:val="24"/>
        </w:rPr>
        <w:t>本项目不设履约保证金。</w:t>
      </w:r>
    </w:p>
    <w:p w14:paraId="3D6F2612"/>
    <w:bookmarkEnd w:id="21"/>
    <w:bookmarkEnd w:id="28"/>
    <w:p w14:paraId="3A35D613">
      <w:pPr>
        <w:pStyle w:val="26"/>
        <w:rPr>
          <w:lang w:eastAsia="zh-CN"/>
        </w:rPr>
      </w:pPr>
      <w:bookmarkStart w:id="33" w:name="_Toc530562787"/>
      <w:bookmarkStart w:id="34" w:name="_Toc9771"/>
      <w:r>
        <w:rPr>
          <w:rFonts w:hint="eastAsia"/>
          <w:lang w:eastAsia="zh-CN"/>
        </w:rPr>
        <w:t>第三章 供应商须知</w:t>
      </w:r>
    </w:p>
    <w:p w14:paraId="1E421B92">
      <w:pPr>
        <w:pStyle w:val="14"/>
        <w:adjustRightInd w:val="0"/>
        <w:snapToGrid w:val="0"/>
        <w:spacing w:line="360" w:lineRule="auto"/>
        <w:rPr>
          <w:rFonts w:hAnsi="宋体"/>
          <w:b/>
          <w:sz w:val="24"/>
        </w:rPr>
      </w:pPr>
      <w:r>
        <w:rPr>
          <w:rFonts w:hint="eastAsia" w:hAnsi="宋体"/>
          <w:b/>
          <w:sz w:val="24"/>
        </w:rPr>
        <w:t>一、前附表</w:t>
      </w:r>
    </w:p>
    <w:tbl>
      <w:tblPr>
        <w:tblStyle w:val="30"/>
        <w:tblW w:w="8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880"/>
        <w:gridCol w:w="6203"/>
      </w:tblGrid>
      <w:tr w14:paraId="06660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740" w:type="dxa"/>
            <w:tcBorders>
              <w:top w:val="single" w:color="auto" w:sz="4" w:space="0"/>
              <w:left w:val="single" w:color="auto" w:sz="4" w:space="0"/>
              <w:bottom w:val="single" w:color="auto" w:sz="4" w:space="0"/>
              <w:right w:val="single" w:color="auto" w:sz="4" w:space="0"/>
            </w:tcBorders>
            <w:vAlign w:val="center"/>
          </w:tcPr>
          <w:p w14:paraId="2E1121C6">
            <w:pPr>
              <w:adjustRightInd w:val="0"/>
              <w:snapToGrid w:val="0"/>
              <w:jc w:val="center"/>
              <w:rPr>
                <w:rFonts w:ascii="宋体" w:hAnsi="宋体" w:cs="宋体"/>
                <w:szCs w:val="21"/>
              </w:rPr>
            </w:pPr>
            <w:r>
              <w:rPr>
                <w:rFonts w:hint="eastAsia" w:ascii="宋体" w:hAnsi="宋体" w:cs="宋体"/>
                <w:szCs w:val="21"/>
              </w:rPr>
              <w:t>序号</w:t>
            </w:r>
          </w:p>
        </w:tc>
        <w:tc>
          <w:tcPr>
            <w:tcW w:w="1880" w:type="dxa"/>
            <w:tcBorders>
              <w:top w:val="single" w:color="auto" w:sz="4" w:space="0"/>
              <w:left w:val="single" w:color="auto" w:sz="4" w:space="0"/>
              <w:bottom w:val="single" w:color="auto" w:sz="4" w:space="0"/>
              <w:right w:val="single" w:color="auto" w:sz="4" w:space="0"/>
            </w:tcBorders>
            <w:vAlign w:val="center"/>
          </w:tcPr>
          <w:p w14:paraId="1628A684">
            <w:pPr>
              <w:adjustRightInd w:val="0"/>
              <w:snapToGrid w:val="0"/>
              <w:jc w:val="center"/>
              <w:rPr>
                <w:rFonts w:ascii="宋体" w:hAnsi="宋体" w:cs="宋体"/>
                <w:szCs w:val="21"/>
              </w:rPr>
            </w:pPr>
            <w:r>
              <w:rPr>
                <w:rFonts w:ascii="宋体" w:hAnsi="宋体" w:cs="宋体"/>
                <w:szCs w:val="21"/>
              </w:rPr>
              <w:t>事项</w:t>
            </w:r>
          </w:p>
        </w:tc>
        <w:tc>
          <w:tcPr>
            <w:tcW w:w="6203" w:type="dxa"/>
            <w:tcBorders>
              <w:top w:val="single" w:color="auto" w:sz="4" w:space="0"/>
              <w:left w:val="single" w:color="auto" w:sz="4" w:space="0"/>
              <w:bottom w:val="single" w:color="auto" w:sz="4" w:space="0"/>
              <w:right w:val="single" w:color="auto" w:sz="4" w:space="0"/>
            </w:tcBorders>
            <w:vAlign w:val="center"/>
          </w:tcPr>
          <w:p w14:paraId="731B821A">
            <w:pPr>
              <w:adjustRightInd w:val="0"/>
              <w:snapToGrid w:val="0"/>
              <w:jc w:val="center"/>
              <w:rPr>
                <w:rFonts w:ascii="宋体" w:hAnsi="宋体" w:cs="宋体"/>
                <w:szCs w:val="21"/>
              </w:rPr>
            </w:pPr>
            <w:r>
              <w:rPr>
                <w:rFonts w:ascii="宋体" w:hAnsi="宋体" w:cs="宋体"/>
                <w:szCs w:val="21"/>
              </w:rPr>
              <w:t>本项目的特别规定</w:t>
            </w:r>
          </w:p>
        </w:tc>
      </w:tr>
      <w:tr w14:paraId="6F16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428C711C">
            <w:pPr>
              <w:adjustRightInd w:val="0"/>
              <w:snapToGrid w:val="0"/>
              <w:jc w:val="center"/>
              <w:rPr>
                <w:rFonts w:ascii="宋体" w:hAnsi="宋体" w:cs="宋体"/>
                <w:szCs w:val="21"/>
              </w:rPr>
            </w:pPr>
            <w:r>
              <w:rPr>
                <w:rFonts w:hint="eastAsia" w:ascii="宋体" w:hAnsi="宋体" w:cs="宋体"/>
                <w:szCs w:val="21"/>
              </w:rPr>
              <w:t>1</w:t>
            </w:r>
          </w:p>
        </w:tc>
        <w:tc>
          <w:tcPr>
            <w:tcW w:w="1880" w:type="dxa"/>
            <w:tcBorders>
              <w:top w:val="single" w:color="auto" w:sz="4" w:space="0"/>
              <w:left w:val="single" w:color="auto" w:sz="4" w:space="0"/>
              <w:bottom w:val="single" w:color="auto" w:sz="4" w:space="0"/>
              <w:right w:val="single" w:color="auto" w:sz="4" w:space="0"/>
            </w:tcBorders>
            <w:vAlign w:val="center"/>
          </w:tcPr>
          <w:p w14:paraId="79B955C9">
            <w:pPr>
              <w:adjustRightInd w:val="0"/>
              <w:snapToGrid w:val="0"/>
              <w:jc w:val="center"/>
              <w:rPr>
                <w:rFonts w:ascii="宋体" w:hAnsi="宋体" w:cs="宋体"/>
                <w:szCs w:val="21"/>
              </w:rPr>
            </w:pPr>
            <w:r>
              <w:rPr>
                <w:rFonts w:hint="eastAsia" w:ascii="宋体" w:hAnsi="宋体" w:cs="宋体"/>
                <w:szCs w:val="21"/>
              </w:rPr>
              <w:t>是否允许联合体</w:t>
            </w:r>
          </w:p>
        </w:tc>
        <w:tc>
          <w:tcPr>
            <w:tcW w:w="6203" w:type="dxa"/>
            <w:tcBorders>
              <w:top w:val="single" w:color="auto" w:sz="4" w:space="0"/>
              <w:left w:val="single" w:color="auto" w:sz="4" w:space="0"/>
              <w:bottom w:val="single" w:color="auto" w:sz="4" w:space="0"/>
              <w:right w:val="single" w:color="auto" w:sz="4" w:space="0"/>
            </w:tcBorders>
            <w:vAlign w:val="center"/>
          </w:tcPr>
          <w:p w14:paraId="7A816CAF">
            <w:pPr>
              <w:autoSpaceDE w:val="0"/>
              <w:autoSpaceDN w:val="0"/>
              <w:adjustRightInd w:val="0"/>
              <w:rPr>
                <w:rFonts w:cs="宋体" w:asciiTheme="minorEastAsia" w:hAnsiTheme="minorEastAsia" w:eastAsiaTheme="minorEastAsia"/>
                <w:szCs w:val="21"/>
              </w:rPr>
            </w:pPr>
            <w:r>
              <w:rPr>
                <w:rFonts w:hint="eastAsia" w:cs="黑体" w:asciiTheme="minorEastAsia" w:hAnsiTheme="minorEastAsia" w:eastAsiaTheme="minorEastAsia"/>
                <w:szCs w:val="21"/>
                <w:shd w:val="clear" w:color="auto" w:fill="FFFFFF"/>
              </w:rPr>
              <w:t>不接受</w:t>
            </w:r>
          </w:p>
        </w:tc>
      </w:tr>
      <w:tr w14:paraId="38B7C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1BEEE55D">
            <w:pPr>
              <w:adjustRightInd w:val="0"/>
              <w:snapToGrid w:val="0"/>
              <w:jc w:val="center"/>
              <w:rPr>
                <w:rFonts w:ascii="宋体" w:hAnsi="宋体" w:cs="宋体"/>
                <w:szCs w:val="21"/>
              </w:rPr>
            </w:pPr>
            <w:r>
              <w:rPr>
                <w:rFonts w:hint="eastAsia" w:ascii="宋体" w:hAnsi="宋体" w:cs="宋体"/>
                <w:szCs w:val="21"/>
              </w:rPr>
              <w:t>2</w:t>
            </w:r>
          </w:p>
        </w:tc>
        <w:tc>
          <w:tcPr>
            <w:tcW w:w="1880" w:type="dxa"/>
            <w:tcBorders>
              <w:top w:val="single" w:color="auto" w:sz="4" w:space="0"/>
              <w:left w:val="single" w:color="auto" w:sz="4" w:space="0"/>
              <w:bottom w:val="single" w:color="auto" w:sz="4" w:space="0"/>
              <w:right w:val="single" w:color="auto" w:sz="4" w:space="0"/>
            </w:tcBorders>
            <w:vAlign w:val="center"/>
          </w:tcPr>
          <w:p w14:paraId="6E642B3F">
            <w:pPr>
              <w:adjustRightInd w:val="0"/>
              <w:snapToGrid w:val="0"/>
              <w:jc w:val="center"/>
              <w:rPr>
                <w:rFonts w:ascii="宋体" w:hAnsi="宋体" w:cs="宋体"/>
                <w:szCs w:val="21"/>
              </w:rPr>
            </w:pPr>
            <w:r>
              <w:rPr>
                <w:rFonts w:hint="eastAsia" w:ascii="宋体" w:hAnsi="宋体" w:cs="宋体"/>
                <w:szCs w:val="21"/>
              </w:rPr>
              <w:t>是否允许分包</w:t>
            </w:r>
          </w:p>
        </w:tc>
        <w:tc>
          <w:tcPr>
            <w:tcW w:w="6203" w:type="dxa"/>
            <w:tcBorders>
              <w:top w:val="single" w:color="auto" w:sz="4" w:space="0"/>
              <w:left w:val="single" w:color="auto" w:sz="4" w:space="0"/>
              <w:bottom w:val="single" w:color="auto" w:sz="4" w:space="0"/>
              <w:right w:val="single" w:color="auto" w:sz="4" w:space="0"/>
            </w:tcBorders>
            <w:vAlign w:val="center"/>
          </w:tcPr>
          <w:p w14:paraId="31E371A4">
            <w:pPr>
              <w:autoSpaceDE w:val="0"/>
              <w:autoSpaceDN w:val="0"/>
              <w:adjustRightInd w:val="0"/>
              <w:rPr>
                <w:rFonts w:cs="宋体" w:asciiTheme="minorEastAsia" w:hAnsiTheme="minorEastAsia" w:eastAsiaTheme="minorEastAsia"/>
                <w:szCs w:val="21"/>
              </w:rPr>
            </w:pPr>
            <w:r>
              <w:rPr>
                <w:rFonts w:cs="宋体" w:asciiTheme="minorEastAsia" w:hAnsiTheme="minorEastAsia" w:eastAsiaTheme="minorEastAsia"/>
                <w:szCs w:val="21"/>
              </w:rPr>
              <w:t>不允许</w:t>
            </w:r>
          </w:p>
        </w:tc>
      </w:tr>
      <w:tr w14:paraId="6FB69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4487029F">
            <w:pPr>
              <w:adjustRightInd w:val="0"/>
              <w:snapToGrid w:val="0"/>
              <w:jc w:val="center"/>
              <w:rPr>
                <w:rFonts w:ascii="宋体" w:hAnsi="宋体" w:cs="宋体"/>
                <w:szCs w:val="21"/>
              </w:rPr>
            </w:pPr>
            <w:r>
              <w:rPr>
                <w:rFonts w:hint="eastAsia" w:ascii="宋体" w:hAnsi="宋体" w:cs="宋体"/>
                <w:szCs w:val="21"/>
              </w:rPr>
              <w:t>3</w:t>
            </w:r>
          </w:p>
        </w:tc>
        <w:tc>
          <w:tcPr>
            <w:tcW w:w="1880" w:type="dxa"/>
            <w:tcBorders>
              <w:top w:val="single" w:color="auto" w:sz="4" w:space="0"/>
              <w:left w:val="single" w:color="auto" w:sz="4" w:space="0"/>
              <w:bottom w:val="single" w:color="auto" w:sz="4" w:space="0"/>
              <w:right w:val="single" w:color="auto" w:sz="4" w:space="0"/>
            </w:tcBorders>
            <w:vAlign w:val="center"/>
          </w:tcPr>
          <w:p w14:paraId="0B5F7CBA">
            <w:pPr>
              <w:adjustRightInd w:val="0"/>
              <w:snapToGrid w:val="0"/>
              <w:jc w:val="center"/>
              <w:rPr>
                <w:rFonts w:ascii="宋体" w:hAnsi="宋体" w:cs="宋体"/>
                <w:szCs w:val="21"/>
              </w:rPr>
            </w:pPr>
            <w:r>
              <w:rPr>
                <w:rFonts w:hint="eastAsia" w:ascii="宋体" w:hAnsi="宋体" w:cs="宋体"/>
                <w:szCs w:val="21"/>
              </w:rPr>
              <w:t>是否包含政府强制采购节能产品</w:t>
            </w:r>
          </w:p>
        </w:tc>
        <w:tc>
          <w:tcPr>
            <w:tcW w:w="6203" w:type="dxa"/>
            <w:tcBorders>
              <w:top w:val="single" w:color="auto" w:sz="4" w:space="0"/>
              <w:left w:val="single" w:color="auto" w:sz="4" w:space="0"/>
              <w:bottom w:val="single" w:color="auto" w:sz="4" w:space="0"/>
              <w:right w:val="single" w:color="auto" w:sz="4" w:space="0"/>
            </w:tcBorders>
            <w:vAlign w:val="center"/>
          </w:tcPr>
          <w:p w14:paraId="54D48EF2">
            <w:pPr>
              <w:rPr>
                <w:rFonts w:cs="宋体" w:asciiTheme="minorEastAsia" w:hAnsiTheme="minorEastAsia" w:eastAsiaTheme="minorEastAsia"/>
                <w:kern w:val="0"/>
                <w:szCs w:val="21"/>
              </w:rPr>
            </w:pPr>
            <w:r>
              <w:rPr>
                <w:rFonts w:hint="eastAsia" w:cs="黑体" w:asciiTheme="minorEastAsia" w:hAnsiTheme="minorEastAsia" w:eastAsiaTheme="minorEastAsia"/>
                <w:szCs w:val="21"/>
                <w:shd w:val="clear" w:color="auto" w:fill="FFFFFF"/>
              </w:rPr>
              <w:t>否</w:t>
            </w:r>
          </w:p>
        </w:tc>
      </w:tr>
      <w:tr w14:paraId="1557A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79BAC114">
            <w:pPr>
              <w:adjustRightInd w:val="0"/>
              <w:snapToGrid w:val="0"/>
              <w:jc w:val="center"/>
              <w:rPr>
                <w:rFonts w:ascii="宋体" w:hAnsi="宋体" w:cs="宋体"/>
                <w:szCs w:val="21"/>
              </w:rPr>
            </w:pPr>
            <w:r>
              <w:rPr>
                <w:rFonts w:hint="eastAsia" w:ascii="宋体" w:hAnsi="宋体" w:cs="宋体"/>
                <w:szCs w:val="21"/>
              </w:rPr>
              <w:t>4</w:t>
            </w:r>
          </w:p>
        </w:tc>
        <w:tc>
          <w:tcPr>
            <w:tcW w:w="1880" w:type="dxa"/>
            <w:tcBorders>
              <w:top w:val="single" w:color="auto" w:sz="4" w:space="0"/>
              <w:left w:val="single" w:color="auto" w:sz="4" w:space="0"/>
              <w:bottom w:val="single" w:color="auto" w:sz="4" w:space="0"/>
              <w:right w:val="single" w:color="auto" w:sz="4" w:space="0"/>
            </w:tcBorders>
            <w:vAlign w:val="center"/>
          </w:tcPr>
          <w:p w14:paraId="626252D1">
            <w:pPr>
              <w:adjustRightInd w:val="0"/>
              <w:snapToGrid w:val="0"/>
              <w:jc w:val="center"/>
              <w:rPr>
                <w:rFonts w:ascii="宋体" w:hAnsi="宋体" w:cs="宋体"/>
                <w:szCs w:val="21"/>
              </w:rPr>
            </w:pPr>
            <w:r>
              <w:rPr>
                <w:rFonts w:hint="eastAsia" w:ascii="宋体" w:hAnsi="宋体" w:cs="宋体"/>
                <w:szCs w:val="21"/>
              </w:rPr>
              <w:t>答疑会或</w:t>
            </w:r>
          </w:p>
          <w:p w14:paraId="25A14CB2">
            <w:pPr>
              <w:adjustRightInd w:val="0"/>
              <w:snapToGrid w:val="0"/>
              <w:jc w:val="center"/>
              <w:rPr>
                <w:rFonts w:ascii="宋体" w:hAnsi="宋体" w:cs="宋体"/>
                <w:szCs w:val="21"/>
              </w:rPr>
            </w:pPr>
            <w:r>
              <w:rPr>
                <w:rFonts w:hint="eastAsia" w:ascii="宋体" w:hAnsi="宋体" w:cs="宋体"/>
                <w:szCs w:val="21"/>
              </w:rPr>
              <w:t>现场踏勘</w:t>
            </w:r>
          </w:p>
        </w:tc>
        <w:tc>
          <w:tcPr>
            <w:tcW w:w="6203" w:type="dxa"/>
            <w:tcBorders>
              <w:top w:val="single" w:color="auto" w:sz="4" w:space="0"/>
              <w:left w:val="single" w:color="auto" w:sz="4" w:space="0"/>
              <w:bottom w:val="single" w:color="auto" w:sz="4" w:space="0"/>
              <w:right w:val="single" w:color="auto" w:sz="4" w:space="0"/>
            </w:tcBorders>
            <w:vAlign w:val="center"/>
          </w:tcPr>
          <w:p w14:paraId="00A73AB9">
            <w:pPr>
              <w:rPr>
                <w:rFonts w:cs="宋体" w:asciiTheme="minorEastAsia" w:hAnsiTheme="minorEastAsia" w:eastAsiaTheme="minorEastAsia"/>
                <w:kern w:val="0"/>
                <w:szCs w:val="21"/>
              </w:rPr>
            </w:pPr>
            <w:r>
              <w:rPr>
                <w:rFonts w:hint="eastAsia" w:ascii="宋体" w:hAnsi="宋体" w:cs="宋体"/>
                <w:szCs w:val="21"/>
              </w:rPr>
              <w:t>不组织</w:t>
            </w:r>
          </w:p>
        </w:tc>
      </w:tr>
      <w:tr w14:paraId="294EA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74BD488A">
            <w:pPr>
              <w:adjustRightInd w:val="0"/>
              <w:snapToGrid w:val="0"/>
              <w:jc w:val="center"/>
              <w:rPr>
                <w:rFonts w:ascii="宋体" w:hAnsi="宋体" w:cs="宋体"/>
                <w:szCs w:val="21"/>
              </w:rPr>
            </w:pPr>
            <w:r>
              <w:rPr>
                <w:rFonts w:hint="eastAsia" w:ascii="宋体" w:hAnsi="宋体" w:cs="宋体"/>
                <w:szCs w:val="21"/>
              </w:rPr>
              <w:t>5</w:t>
            </w:r>
          </w:p>
        </w:tc>
        <w:tc>
          <w:tcPr>
            <w:tcW w:w="1880" w:type="dxa"/>
            <w:tcBorders>
              <w:top w:val="single" w:color="auto" w:sz="4" w:space="0"/>
              <w:left w:val="single" w:color="auto" w:sz="4" w:space="0"/>
              <w:bottom w:val="single" w:color="auto" w:sz="4" w:space="0"/>
              <w:right w:val="single" w:color="auto" w:sz="4" w:space="0"/>
            </w:tcBorders>
            <w:vAlign w:val="center"/>
          </w:tcPr>
          <w:p w14:paraId="4F1ECC9E">
            <w:pPr>
              <w:adjustRightInd w:val="0"/>
              <w:snapToGrid w:val="0"/>
              <w:jc w:val="center"/>
              <w:rPr>
                <w:rFonts w:ascii="宋体" w:hAnsi="宋体" w:cs="宋体"/>
                <w:szCs w:val="21"/>
              </w:rPr>
            </w:pPr>
            <w:r>
              <w:rPr>
                <w:rFonts w:hint="eastAsia" w:ascii="宋体" w:hAnsi="宋体" w:cs="宋体"/>
                <w:szCs w:val="21"/>
              </w:rPr>
              <w:t>磋商保证金</w:t>
            </w:r>
          </w:p>
        </w:tc>
        <w:tc>
          <w:tcPr>
            <w:tcW w:w="6203" w:type="dxa"/>
            <w:tcBorders>
              <w:top w:val="single" w:color="auto" w:sz="4" w:space="0"/>
              <w:left w:val="single" w:color="auto" w:sz="4" w:space="0"/>
              <w:bottom w:val="single" w:color="auto" w:sz="4" w:space="0"/>
              <w:right w:val="single" w:color="auto" w:sz="4" w:space="0"/>
            </w:tcBorders>
            <w:vAlign w:val="center"/>
          </w:tcPr>
          <w:p w14:paraId="543073E0">
            <w:pPr>
              <w:adjustRightInd w:val="0"/>
              <w:snapToGrid w:val="0"/>
              <w:jc w:val="left"/>
              <w:rPr>
                <w:rFonts w:ascii="宋体" w:hAnsi="宋体" w:cs="宋体"/>
                <w:szCs w:val="21"/>
              </w:rPr>
            </w:pPr>
            <w:r>
              <w:rPr>
                <w:rFonts w:ascii="宋体" w:hAnsi="宋体" w:cs="宋体"/>
                <w:szCs w:val="21"/>
              </w:rPr>
              <w:t>无</w:t>
            </w:r>
          </w:p>
        </w:tc>
      </w:tr>
      <w:tr w14:paraId="5E380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3DF034B2">
            <w:pPr>
              <w:adjustRightInd w:val="0"/>
              <w:snapToGrid w:val="0"/>
              <w:jc w:val="center"/>
              <w:rPr>
                <w:rFonts w:ascii="宋体" w:hAnsi="宋体" w:cs="宋体"/>
                <w:szCs w:val="21"/>
              </w:rPr>
            </w:pPr>
            <w:r>
              <w:rPr>
                <w:rFonts w:hint="eastAsia" w:ascii="宋体" w:hAnsi="宋体" w:cs="宋体"/>
                <w:szCs w:val="21"/>
              </w:rPr>
              <w:t>6</w:t>
            </w: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14:paraId="6D48A1A1">
            <w:pPr>
              <w:adjustRightInd w:val="0"/>
              <w:snapToGrid w:val="0"/>
              <w:jc w:val="center"/>
              <w:rPr>
                <w:rFonts w:ascii="宋体" w:hAnsi="宋体" w:cs="宋体"/>
                <w:szCs w:val="21"/>
              </w:rPr>
            </w:pPr>
            <w:r>
              <w:rPr>
                <w:rFonts w:hint="eastAsia" w:ascii="宋体" w:hAnsi="宋体" w:cs="宋体"/>
                <w:szCs w:val="21"/>
              </w:rPr>
              <w:t>审查方式</w:t>
            </w:r>
          </w:p>
        </w:tc>
        <w:tc>
          <w:tcPr>
            <w:tcW w:w="6203" w:type="dxa"/>
            <w:tcBorders>
              <w:top w:val="single" w:color="auto" w:sz="4" w:space="0"/>
              <w:left w:val="single" w:color="auto" w:sz="4" w:space="0"/>
              <w:bottom w:val="single" w:color="auto" w:sz="4" w:space="0"/>
              <w:right w:val="single" w:color="auto" w:sz="4" w:space="0"/>
            </w:tcBorders>
            <w:shd w:val="clear" w:color="auto" w:fill="auto"/>
            <w:vAlign w:val="center"/>
          </w:tcPr>
          <w:p w14:paraId="19CE47E5">
            <w:pPr>
              <w:adjustRightInd w:val="0"/>
              <w:snapToGrid w:val="0"/>
              <w:jc w:val="left"/>
              <w:rPr>
                <w:rFonts w:ascii="宋体" w:hAnsi="宋体" w:cs="宋体"/>
                <w:szCs w:val="21"/>
              </w:rPr>
            </w:pPr>
            <w:r>
              <w:rPr>
                <w:rFonts w:hint="eastAsia" w:ascii="宋体" w:hAnsi="宋体" w:cs="宋体"/>
                <w:szCs w:val="21"/>
              </w:rPr>
              <w:t>资格后审</w:t>
            </w:r>
          </w:p>
        </w:tc>
      </w:tr>
      <w:tr w14:paraId="1B5B3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023CFDB2">
            <w:pPr>
              <w:adjustRightInd w:val="0"/>
              <w:snapToGrid w:val="0"/>
              <w:jc w:val="center"/>
              <w:rPr>
                <w:rFonts w:ascii="宋体" w:hAnsi="宋体" w:cs="宋体"/>
                <w:szCs w:val="21"/>
              </w:rPr>
            </w:pPr>
            <w:r>
              <w:rPr>
                <w:rFonts w:hint="eastAsia" w:ascii="宋体" w:hAnsi="宋体" w:cs="宋体"/>
                <w:szCs w:val="21"/>
              </w:rPr>
              <w:t>7</w:t>
            </w:r>
          </w:p>
        </w:tc>
        <w:tc>
          <w:tcPr>
            <w:tcW w:w="1880" w:type="dxa"/>
            <w:tcBorders>
              <w:top w:val="single" w:color="auto" w:sz="4" w:space="0"/>
              <w:left w:val="single" w:color="auto" w:sz="4" w:space="0"/>
              <w:bottom w:val="single" w:color="auto" w:sz="4" w:space="0"/>
              <w:right w:val="single" w:color="auto" w:sz="4" w:space="0"/>
            </w:tcBorders>
            <w:vAlign w:val="center"/>
          </w:tcPr>
          <w:p w14:paraId="2993E5D4">
            <w:pPr>
              <w:adjustRightInd w:val="0"/>
              <w:snapToGrid w:val="0"/>
              <w:jc w:val="center"/>
              <w:rPr>
                <w:rFonts w:ascii="宋体" w:hAnsi="宋体" w:cs="宋体"/>
                <w:szCs w:val="21"/>
              </w:rPr>
            </w:pPr>
            <w:r>
              <w:rPr>
                <w:rFonts w:hint="eastAsia" w:ascii="宋体" w:hAnsi="宋体" w:cs="宋体"/>
                <w:szCs w:val="21"/>
              </w:rPr>
              <w:t>响应文件有效期</w:t>
            </w:r>
          </w:p>
        </w:tc>
        <w:tc>
          <w:tcPr>
            <w:tcW w:w="6203" w:type="dxa"/>
            <w:tcBorders>
              <w:top w:val="single" w:color="auto" w:sz="4" w:space="0"/>
              <w:left w:val="single" w:color="auto" w:sz="4" w:space="0"/>
              <w:bottom w:val="single" w:color="auto" w:sz="4" w:space="0"/>
              <w:right w:val="single" w:color="auto" w:sz="4" w:space="0"/>
            </w:tcBorders>
            <w:vAlign w:val="center"/>
          </w:tcPr>
          <w:p w14:paraId="7CE488B6">
            <w:pPr>
              <w:adjustRightInd w:val="0"/>
              <w:snapToGrid w:val="0"/>
              <w:jc w:val="left"/>
              <w:rPr>
                <w:rFonts w:ascii="宋体" w:hAnsi="宋体" w:cs="宋体"/>
                <w:szCs w:val="21"/>
              </w:rPr>
            </w:pPr>
            <w:r>
              <w:rPr>
                <w:rFonts w:hint="eastAsia" w:ascii="宋体" w:hAnsi="宋体" w:cs="宋体"/>
                <w:szCs w:val="21"/>
              </w:rPr>
              <w:t>响应文件有效期为磋商截止日起60天</w:t>
            </w:r>
          </w:p>
        </w:tc>
      </w:tr>
      <w:tr w14:paraId="6DCA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413B09D2">
            <w:pPr>
              <w:adjustRightInd w:val="0"/>
              <w:snapToGrid w:val="0"/>
              <w:jc w:val="center"/>
              <w:rPr>
                <w:rFonts w:ascii="宋体" w:hAnsi="宋体" w:cs="宋体"/>
                <w:szCs w:val="21"/>
              </w:rPr>
            </w:pPr>
            <w:r>
              <w:rPr>
                <w:rFonts w:hint="eastAsia" w:ascii="宋体" w:hAnsi="宋体" w:cs="宋体"/>
                <w:szCs w:val="21"/>
              </w:rPr>
              <w:t>8</w:t>
            </w:r>
          </w:p>
        </w:tc>
        <w:tc>
          <w:tcPr>
            <w:tcW w:w="1880" w:type="dxa"/>
            <w:tcBorders>
              <w:top w:val="single" w:color="auto" w:sz="4" w:space="0"/>
              <w:left w:val="single" w:color="auto" w:sz="4" w:space="0"/>
              <w:bottom w:val="single" w:color="auto" w:sz="4" w:space="0"/>
              <w:right w:val="single" w:color="auto" w:sz="4" w:space="0"/>
            </w:tcBorders>
            <w:vAlign w:val="center"/>
          </w:tcPr>
          <w:p w14:paraId="4E3CA734">
            <w:pPr>
              <w:adjustRightInd w:val="0"/>
              <w:snapToGrid w:val="0"/>
              <w:jc w:val="center"/>
              <w:rPr>
                <w:rFonts w:ascii="宋体" w:hAnsi="宋体" w:cs="宋体"/>
                <w:szCs w:val="21"/>
              </w:rPr>
            </w:pPr>
            <w:r>
              <w:rPr>
                <w:rFonts w:hint="eastAsia" w:ascii="宋体" w:hAnsi="宋体" w:cs="宋体"/>
                <w:szCs w:val="21"/>
              </w:rPr>
              <w:t>响应文件组成</w:t>
            </w:r>
          </w:p>
        </w:tc>
        <w:tc>
          <w:tcPr>
            <w:tcW w:w="6203" w:type="dxa"/>
            <w:tcBorders>
              <w:top w:val="single" w:color="auto" w:sz="4" w:space="0"/>
              <w:left w:val="single" w:color="auto" w:sz="4" w:space="0"/>
              <w:bottom w:val="single" w:color="auto" w:sz="4" w:space="0"/>
              <w:right w:val="single" w:color="auto" w:sz="4" w:space="0"/>
            </w:tcBorders>
            <w:vAlign w:val="center"/>
          </w:tcPr>
          <w:p w14:paraId="34F95006">
            <w:pPr>
              <w:adjustRightInd w:val="0"/>
              <w:snapToGrid w:val="0"/>
              <w:jc w:val="left"/>
              <w:rPr>
                <w:rFonts w:ascii="宋体" w:hAnsi="宋体" w:cs="宋体"/>
                <w:szCs w:val="21"/>
              </w:rPr>
            </w:pPr>
            <w:r>
              <w:rPr>
                <w:rFonts w:hint="eastAsia" w:ascii="宋体" w:hAnsi="宋体"/>
                <w:szCs w:val="21"/>
              </w:rPr>
              <w:t>详见第三部分——供应商须知“二、磋商响应文件（一）响应文件的构成”</w:t>
            </w:r>
          </w:p>
        </w:tc>
      </w:tr>
      <w:tr w14:paraId="437C9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6BE8FA0E">
            <w:pPr>
              <w:adjustRightInd w:val="0"/>
              <w:snapToGrid w:val="0"/>
              <w:jc w:val="center"/>
              <w:rPr>
                <w:rFonts w:ascii="宋体" w:hAnsi="宋体" w:cs="宋体"/>
                <w:szCs w:val="21"/>
              </w:rPr>
            </w:pPr>
            <w:r>
              <w:rPr>
                <w:rFonts w:hint="eastAsia" w:ascii="宋体" w:hAnsi="宋体" w:cs="宋体"/>
                <w:szCs w:val="21"/>
              </w:rPr>
              <w:t>9</w:t>
            </w:r>
          </w:p>
        </w:tc>
        <w:tc>
          <w:tcPr>
            <w:tcW w:w="1880" w:type="dxa"/>
            <w:tcBorders>
              <w:top w:val="single" w:color="auto" w:sz="4" w:space="0"/>
              <w:left w:val="single" w:color="auto" w:sz="4" w:space="0"/>
              <w:bottom w:val="single" w:color="auto" w:sz="4" w:space="0"/>
              <w:right w:val="single" w:color="auto" w:sz="4" w:space="0"/>
            </w:tcBorders>
            <w:vAlign w:val="center"/>
          </w:tcPr>
          <w:p w14:paraId="13B27B1F">
            <w:pPr>
              <w:adjustRightInd w:val="0"/>
              <w:snapToGrid w:val="0"/>
              <w:jc w:val="center"/>
              <w:rPr>
                <w:rFonts w:ascii="宋体" w:hAnsi="宋体" w:cs="宋体"/>
                <w:szCs w:val="21"/>
              </w:rPr>
            </w:pPr>
            <w:r>
              <w:rPr>
                <w:rFonts w:hint="eastAsia" w:ascii="宋体" w:hAnsi="宋体" w:cs="宋体"/>
                <w:szCs w:val="21"/>
              </w:rPr>
              <w:t>响应文件份数及密封要求</w:t>
            </w:r>
          </w:p>
        </w:tc>
        <w:tc>
          <w:tcPr>
            <w:tcW w:w="6203" w:type="dxa"/>
            <w:tcBorders>
              <w:top w:val="single" w:color="auto" w:sz="4" w:space="0"/>
              <w:left w:val="single" w:color="auto" w:sz="4" w:space="0"/>
              <w:bottom w:val="single" w:color="auto" w:sz="4" w:space="0"/>
              <w:right w:val="single" w:color="auto" w:sz="4" w:space="0"/>
            </w:tcBorders>
            <w:vAlign w:val="center"/>
          </w:tcPr>
          <w:p w14:paraId="6A7FD0E7">
            <w:pPr>
              <w:adjustRightInd w:val="0"/>
              <w:snapToGrid w:val="0"/>
              <w:jc w:val="left"/>
              <w:rPr>
                <w:rFonts w:ascii="宋体" w:hAnsi="宋体"/>
                <w:b/>
                <w:szCs w:val="21"/>
              </w:rPr>
            </w:pPr>
            <w:r>
              <w:rPr>
                <w:rFonts w:hint="eastAsia" w:ascii="宋体" w:hAnsi="宋体"/>
                <w:szCs w:val="21"/>
              </w:rPr>
              <w:t>按照磋商文件要求的顺序装订，需正本</w:t>
            </w:r>
            <w:r>
              <w:rPr>
                <w:rFonts w:hint="eastAsia" w:ascii="宋体" w:hAnsi="宋体"/>
                <w:szCs w:val="21"/>
                <w:lang w:eastAsia="zh-CN"/>
              </w:rPr>
              <w:t>一</w:t>
            </w:r>
            <w:r>
              <w:rPr>
                <w:rFonts w:hint="eastAsia" w:ascii="宋体" w:hAnsi="宋体"/>
                <w:szCs w:val="21"/>
              </w:rPr>
              <w:t>份、副本</w:t>
            </w:r>
            <w:r>
              <w:rPr>
                <w:rFonts w:hint="eastAsia" w:ascii="宋体" w:hAnsi="宋体"/>
                <w:szCs w:val="21"/>
                <w:lang w:eastAsia="zh-CN"/>
              </w:rPr>
              <w:t>四</w:t>
            </w:r>
            <w:r>
              <w:rPr>
                <w:rFonts w:hint="eastAsia" w:ascii="宋体" w:hAnsi="宋体"/>
                <w:szCs w:val="21"/>
              </w:rPr>
              <w:t>份，正、副本统一密封于一袋；证书、证明材料等原件（如有）单独密封于一袋。</w:t>
            </w:r>
            <w:r>
              <w:rPr>
                <w:rFonts w:hint="eastAsia" w:ascii="宋体" w:hAnsi="宋体"/>
                <w:b/>
                <w:szCs w:val="21"/>
              </w:rPr>
              <w:t>响应文件的封面应注明“正本”或“副本”字样，副本可以采用正本的复印件。正本与副本内容不一致时，以正本内容为准。</w:t>
            </w:r>
          </w:p>
        </w:tc>
      </w:tr>
      <w:tr w14:paraId="6F7D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3A11B550">
            <w:pPr>
              <w:adjustRightInd w:val="0"/>
              <w:snapToGrid w:val="0"/>
              <w:jc w:val="center"/>
              <w:rPr>
                <w:rFonts w:ascii="宋体" w:hAnsi="宋体" w:cs="宋体"/>
                <w:szCs w:val="21"/>
              </w:rPr>
            </w:pPr>
            <w:r>
              <w:rPr>
                <w:rFonts w:hint="eastAsia" w:ascii="宋体" w:hAnsi="宋体" w:cs="宋体"/>
                <w:szCs w:val="21"/>
              </w:rPr>
              <w:t>10</w:t>
            </w:r>
          </w:p>
        </w:tc>
        <w:tc>
          <w:tcPr>
            <w:tcW w:w="1880" w:type="dxa"/>
            <w:tcBorders>
              <w:top w:val="single" w:color="auto" w:sz="4" w:space="0"/>
              <w:left w:val="single" w:color="auto" w:sz="4" w:space="0"/>
              <w:bottom w:val="single" w:color="auto" w:sz="4" w:space="0"/>
              <w:right w:val="single" w:color="auto" w:sz="4" w:space="0"/>
            </w:tcBorders>
            <w:vAlign w:val="center"/>
          </w:tcPr>
          <w:p w14:paraId="24733EF7">
            <w:pPr>
              <w:adjustRightInd w:val="0"/>
              <w:snapToGrid w:val="0"/>
              <w:jc w:val="center"/>
              <w:rPr>
                <w:rFonts w:ascii="宋体" w:hAnsi="宋体" w:cs="宋体"/>
                <w:szCs w:val="21"/>
              </w:rPr>
            </w:pPr>
            <w:r>
              <w:rPr>
                <w:rFonts w:hint="eastAsia" w:ascii="宋体" w:hAnsi="宋体" w:cs="宋体"/>
                <w:szCs w:val="21"/>
              </w:rPr>
              <w:t>响应文件的装订要求</w:t>
            </w:r>
          </w:p>
        </w:tc>
        <w:tc>
          <w:tcPr>
            <w:tcW w:w="6203" w:type="dxa"/>
            <w:tcBorders>
              <w:top w:val="single" w:color="auto" w:sz="4" w:space="0"/>
              <w:left w:val="single" w:color="auto" w:sz="4" w:space="0"/>
              <w:bottom w:val="single" w:color="auto" w:sz="4" w:space="0"/>
              <w:right w:val="single" w:color="auto" w:sz="4" w:space="0"/>
            </w:tcBorders>
            <w:vAlign w:val="center"/>
          </w:tcPr>
          <w:p w14:paraId="03A4DD81">
            <w:pPr>
              <w:adjustRightInd w:val="0"/>
              <w:snapToGrid w:val="0"/>
              <w:jc w:val="left"/>
              <w:rPr>
                <w:rFonts w:ascii="宋体" w:hAnsi="宋体" w:cs="宋体"/>
                <w:szCs w:val="21"/>
              </w:rPr>
            </w:pPr>
            <w:r>
              <w:rPr>
                <w:rFonts w:hint="eastAsia" w:ascii="宋体" w:hAnsi="宋体" w:cs="宋体"/>
                <w:szCs w:val="21"/>
              </w:rPr>
              <w:t>响应文件不得活页装订（活页装订是指用卡条、抽杆夹等形式装订，使标书可以拆卸或者在翻动过程中易脱落的一种装订方式），否则响应文件将被视为无效。</w:t>
            </w:r>
          </w:p>
        </w:tc>
      </w:tr>
      <w:tr w14:paraId="56F26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7D5AAFAA">
            <w:pPr>
              <w:adjustRightInd w:val="0"/>
              <w:snapToGrid w:val="0"/>
              <w:jc w:val="center"/>
              <w:rPr>
                <w:rFonts w:ascii="宋体" w:hAnsi="宋体" w:cs="宋体"/>
                <w:szCs w:val="21"/>
              </w:rPr>
            </w:pPr>
            <w:r>
              <w:rPr>
                <w:rFonts w:hint="eastAsia" w:ascii="宋体" w:hAnsi="宋体" w:cs="宋体"/>
                <w:szCs w:val="21"/>
              </w:rPr>
              <w:t>11</w:t>
            </w:r>
          </w:p>
        </w:tc>
        <w:tc>
          <w:tcPr>
            <w:tcW w:w="1880" w:type="dxa"/>
            <w:tcBorders>
              <w:top w:val="single" w:color="auto" w:sz="4" w:space="0"/>
              <w:left w:val="single" w:color="auto" w:sz="4" w:space="0"/>
              <w:bottom w:val="single" w:color="auto" w:sz="4" w:space="0"/>
              <w:right w:val="single" w:color="auto" w:sz="4" w:space="0"/>
            </w:tcBorders>
            <w:vAlign w:val="center"/>
          </w:tcPr>
          <w:p w14:paraId="29016F69">
            <w:pPr>
              <w:adjustRightInd w:val="0"/>
              <w:snapToGrid w:val="0"/>
              <w:jc w:val="center"/>
              <w:rPr>
                <w:rFonts w:ascii="宋体" w:hAnsi="宋体" w:cs="宋体"/>
                <w:szCs w:val="21"/>
              </w:rPr>
            </w:pPr>
            <w:r>
              <w:rPr>
                <w:rFonts w:hint="eastAsia" w:ascii="宋体" w:hAnsi="宋体" w:cs="宋体"/>
                <w:szCs w:val="21"/>
              </w:rPr>
              <w:t>响应文件及样品递交要求</w:t>
            </w:r>
          </w:p>
        </w:tc>
        <w:tc>
          <w:tcPr>
            <w:tcW w:w="6203" w:type="dxa"/>
            <w:tcBorders>
              <w:top w:val="single" w:color="auto" w:sz="4" w:space="0"/>
              <w:left w:val="single" w:color="auto" w:sz="4" w:space="0"/>
              <w:bottom w:val="single" w:color="auto" w:sz="4" w:space="0"/>
              <w:right w:val="single" w:color="auto" w:sz="4" w:space="0"/>
            </w:tcBorders>
            <w:vAlign w:val="center"/>
          </w:tcPr>
          <w:p w14:paraId="4E1D3CBA">
            <w:pPr>
              <w:snapToGrid w:val="0"/>
              <w:jc w:val="left"/>
              <w:rPr>
                <w:rFonts w:ascii="宋体" w:hAnsi="宋体" w:cs="宋体"/>
                <w:szCs w:val="21"/>
              </w:rPr>
            </w:pPr>
            <w:r>
              <w:rPr>
                <w:rFonts w:hint="eastAsia" w:ascii="宋体" w:hAnsi="宋体" w:cs="宋体"/>
                <w:b/>
                <w:szCs w:val="21"/>
              </w:rPr>
              <w:t>1.本项目要求现场递交</w:t>
            </w:r>
            <w:r>
              <w:rPr>
                <w:rFonts w:hint="eastAsia" w:ascii="宋体" w:hAnsi="宋体" w:cs="宋体"/>
                <w:szCs w:val="21"/>
              </w:rPr>
              <w:t>，参加磋商会议的各供应商的法定代表人（或营业执照中明确的负责人）或其授权代表应出具身份证原件及加盖单位公章的身份证复印件，若为授权代表参加的还须提供《授权委托书》原件（格式参照附件）。</w:t>
            </w:r>
          </w:p>
          <w:p w14:paraId="36BD5B5D">
            <w:pPr>
              <w:snapToGrid w:val="0"/>
              <w:jc w:val="left"/>
            </w:pPr>
            <w:r>
              <w:rPr>
                <w:rFonts w:hint="eastAsia" w:ascii="宋体" w:hAnsi="宋体" w:cs="宋体"/>
                <w:szCs w:val="21"/>
              </w:rPr>
              <w:t>2.样品制作、包装及密封要求详见磋商文件，与响应文件一同递交。</w:t>
            </w:r>
          </w:p>
        </w:tc>
      </w:tr>
      <w:tr w14:paraId="3C18F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5123541E">
            <w:pPr>
              <w:adjustRightInd w:val="0"/>
              <w:snapToGrid w:val="0"/>
              <w:jc w:val="center"/>
              <w:rPr>
                <w:rFonts w:ascii="宋体" w:hAnsi="宋体" w:cs="宋体"/>
                <w:szCs w:val="21"/>
              </w:rPr>
            </w:pPr>
            <w:r>
              <w:rPr>
                <w:rFonts w:hint="eastAsia" w:ascii="宋体" w:hAnsi="宋体" w:cs="宋体"/>
                <w:szCs w:val="21"/>
              </w:rPr>
              <w:t>12</w:t>
            </w:r>
          </w:p>
        </w:tc>
        <w:tc>
          <w:tcPr>
            <w:tcW w:w="1880" w:type="dxa"/>
            <w:tcBorders>
              <w:top w:val="single" w:color="auto" w:sz="4" w:space="0"/>
              <w:left w:val="single" w:color="auto" w:sz="4" w:space="0"/>
              <w:bottom w:val="single" w:color="auto" w:sz="4" w:space="0"/>
              <w:right w:val="single" w:color="auto" w:sz="4" w:space="0"/>
            </w:tcBorders>
            <w:vAlign w:val="center"/>
          </w:tcPr>
          <w:p w14:paraId="152BFD9D">
            <w:pPr>
              <w:adjustRightInd w:val="0"/>
              <w:snapToGrid w:val="0"/>
              <w:jc w:val="center"/>
              <w:rPr>
                <w:rFonts w:ascii="宋体" w:hAnsi="宋体" w:cs="宋体"/>
                <w:szCs w:val="21"/>
              </w:rPr>
            </w:pPr>
            <w:r>
              <w:rPr>
                <w:rFonts w:hint="eastAsia" w:ascii="宋体" w:hAnsi="宋体" w:cs="宋体"/>
                <w:szCs w:val="21"/>
              </w:rPr>
              <w:t>评审办法</w:t>
            </w:r>
          </w:p>
        </w:tc>
        <w:tc>
          <w:tcPr>
            <w:tcW w:w="6203" w:type="dxa"/>
            <w:tcBorders>
              <w:top w:val="single" w:color="auto" w:sz="4" w:space="0"/>
              <w:left w:val="single" w:color="auto" w:sz="4" w:space="0"/>
              <w:bottom w:val="single" w:color="auto" w:sz="4" w:space="0"/>
              <w:right w:val="single" w:color="auto" w:sz="4" w:space="0"/>
            </w:tcBorders>
            <w:vAlign w:val="center"/>
          </w:tcPr>
          <w:p w14:paraId="4019B786">
            <w:pPr>
              <w:adjustRightInd w:val="0"/>
              <w:snapToGrid w:val="0"/>
              <w:jc w:val="left"/>
              <w:rPr>
                <w:rFonts w:ascii="宋体" w:hAnsi="宋体" w:cs="宋体"/>
                <w:szCs w:val="21"/>
              </w:rPr>
            </w:pPr>
            <w:r>
              <w:rPr>
                <w:rFonts w:hint="eastAsia" w:ascii="宋体" w:hAnsi="宋体" w:cs="宋体"/>
                <w:szCs w:val="21"/>
              </w:rPr>
              <w:t>综合评分法</w:t>
            </w:r>
          </w:p>
        </w:tc>
      </w:tr>
      <w:tr w14:paraId="02D3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0FABA1A3">
            <w:pPr>
              <w:adjustRightInd w:val="0"/>
              <w:snapToGrid w:val="0"/>
              <w:jc w:val="center"/>
              <w:rPr>
                <w:rFonts w:ascii="宋体" w:hAnsi="宋体" w:cs="宋体"/>
                <w:szCs w:val="21"/>
              </w:rPr>
            </w:pPr>
            <w:r>
              <w:rPr>
                <w:rFonts w:hint="eastAsia" w:ascii="宋体" w:hAnsi="宋体" w:cs="宋体"/>
                <w:szCs w:val="21"/>
              </w:rPr>
              <w:t>13</w:t>
            </w:r>
          </w:p>
        </w:tc>
        <w:tc>
          <w:tcPr>
            <w:tcW w:w="1880" w:type="dxa"/>
            <w:tcBorders>
              <w:top w:val="single" w:color="auto" w:sz="4" w:space="0"/>
              <w:left w:val="single" w:color="auto" w:sz="4" w:space="0"/>
              <w:bottom w:val="single" w:color="auto" w:sz="4" w:space="0"/>
              <w:right w:val="single" w:color="auto" w:sz="4" w:space="0"/>
            </w:tcBorders>
            <w:vAlign w:val="center"/>
          </w:tcPr>
          <w:p w14:paraId="461A6087">
            <w:pPr>
              <w:adjustRightInd w:val="0"/>
              <w:snapToGrid w:val="0"/>
              <w:jc w:val="center"/>
              <w:rPr>
                <w:rFonts w:ascii="宋体" w:hAnsi="宋体" w:cs="宋体"/>
                <w:szCs w:val="21"/>
              </w:rPr>
            </w:pPr>
            <w:r>
              <w:rPr>
                <w:rFonts w:hint="eastAsia" w:ascii="宋体" w:hAnsi="宋体" w:cs="宋体"/>
                <w:szCs w:val="21"/>
              </w:rPr>
              <w:t>磋商会议</w:t>
            </w:r>
          </w:p>
        </w:tc>
        <w:tc>
          <w:tcPr>
            <w:tcW w:w="6203" w:type="dxa"/>
            <w:tcBorders>
              <w:top w:val="single" w:color="auto" w:sz="4" w:space="0"/>
              <w:left w:val="single" w:color="auto" w:sz="4" w:space="0"/>
              <w:bottom w:val="single" w:color="auto" w:sz="4" w:space="0"/>
              <w:right w:val="single" w:color="auto" w:sz="4" w:space="0"/>
            </w:tcBorders>
            <w:vAlign w:val="center"/>
          </w:tcPr>
          <w:p w14:paraId="4EB29642">
            <w:pPr>
              <w:adjustRightInd w:val="0"/>
              <w:snapToGrid w:val="0"/>
              <w:jc w:val="left"/>
              <w:rPr>
                <w:b/>
                <w:szCs w:val="21"/>
              </w:rPr>
            </w:pPr>
            <w:r>
              <w:rPr>
                <w:rFonts w:hint="eastAsia" w:hAnsi="宋体"/>
                <w:b/>
                <w:szCs w:val="21"/>
              </w:rPr>
              <w:t>磋商供应商须委派代表参与现场磋商会议，否则视为放弃磋商</w:t>
            </w:r>
          </w:p>
        </w:tc>
      </w:tr>
      <w:tr w14:paraId="727D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2D0DA02D">
            <w:pPr>
              <w:adjustRightInd w:val="0"/>
              <w:snapToGrid w:val="0"/>
              <w:jc w:val="center"/>
              <w:rPr>
                <w:rFonts w:ascii="宋体" w:hAnsi="宋体" w:cs="宋体"/>
                <w:szCs w:val="21"/>
              </w:rPr>
            </w:pPr>
            <w:r>
              <w:rPr>
                <w:rFonts w:hint="eastAsia" w:ascii="宋体" w:hAnsi="宋体" w:cs="宋体"/>
                <w:szCs w:val="21"/>
              </w:rPr>
              <w:t>14</w:t>
            </w:r>
          </w:p>
        </w:tc>
        <w:tc>
          <w:tcPr>
            <w:tcW w:w="1880" w:type="dxa"/>
            <w:tcBorders>
              <w:top w:val="single" w:color="auto" w:sz="4" w:space="0"/>
              <w:left w:val="single" w:color="auto" w:sz="4" w:space="0"/>
              <w:bottom w:val="single" w:color="auto" w:sz="4" w:space="0"/>
              <w:right w:val="single" w:color="auto" w:sz="4" w:space="0"/>
            </w:tcBorders>
            <w:vAlign w:val="center"/>
          </w:tcPr>
          <w:p w14:paraId="73F67356">
            <w:pPr>
              <w:autoSpaceDE w:val="0"/>
              <w:autoSpaceDN w:val="0"/>
              <w:adjustRightInd w:val="0"/>
              <w:rPr>
                <w:rFonts w:ascii="宋体" w:hAnsi="宋体" w:cs="宋体"/>
                <w:szCs w:val="21"/>
              </w:rPr>
            </w:pPr>
            <w:r>
              <w:rPr>
                <w:rFonts w:hint="eastAsia" w:ascii="宋体" w:hAnsi="宋体" w:cs="宋体"/>
                <w:szCs w:val="21"/>
                <w:lang w:val="zh-CN"/>
              </w:rPr>
              <w:t>实质性条款</w:t>
            </w:r>
            <w:r>
              <w:rPr>
                <w:rFonts w:hint="eastAsia" w:ascii="宋体" w:hAnsi="宋体" w:cs="宋体"/>
                <w:bCs/>
                <w:szCs w:val="21"/>
              </w:rPr>
              <w:t>（如有）</w:t>
            </w:r>
          </w:p>
        </w:tc>
        <w:tc>
          <w:tcPr>
            <w:tcW w:w="6203" w:type="dxa"/>
            <w:tcBorders>
              <w:top w:val="single" w:color="auto" w:sz="4" w:space="0"/>
              <w:left w:val="single" w:color="auto" w:sz="4" w:space="0"/>
              <w:bottom w:val="single" w:color="auto" w:sz="4" w:space="0"/>
              <w:right w:val="single" w:color="auto" w:sz="4" w:space="0"/>
            </w:tcBorders>
            <w:vAlign w:val="center"/>
          </w:tcPr>
          <w:p w14:paraId="1BADD72F">
            <w:pPr>
              <w:autoSpaceDE w:val="0"/>
              <w:autoSpaceDN w:val="0"/>
              <w:adjustRightInd w:val="0"/>
              <w:rPr>
                <w:rFonts w:ascii="宋体" w:hAnsi="宋体" w:cs="宋体"/>
                <w:szCs w:val="21"/>
              </w:rPr>
            </w:pPr>
            <w:r>
              <w:rPr>
                <w:rFonts w:hint="eastAsia" w:ascii="宋体" w:hAnsi="宋体" w:cs="宋体"/>
                <w:kern w:val="0"/>
                <w:szCs w:val="21"/>
                <w:lang w:val="zh-CN"/>
              </w:rPr>
              <w:t>带“</w:t>
            </w:r>
            <w:r>
              <w:rPr>
                <w:rFonts w:hint="eastAsia" w:ascii="宋体" w:hAnsi="宋体" w:cs="宋体"/>
                <w:bCs/>
                <w:szCs w:val="21"/>
              </w:rPr>
              <w:t>▲”的条款是实质性条款，响应文件须做出实质性响应，否则作无效响应处理。</w:t>
            </w:r>
          </w:p>
        </w:tc>
      </w:tr>
      <w:tr w14:paraId="2E7C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14:paraId="73AEEF5B">
            <w:pPr>
              <w:adjustRightInd w:val="0"/>
              <w:snapToGrid w:val="0"/>
              <w:jc w:val="center"/>
              <w:rPr>
                <w:rFonts w:ascii="宋体" w:hAnsi="宋体" w:cs="宋体"/>
                <w:szCs w:val="21"/>
              </w:rPr>
            </w:pPr>
            <w:r>
              <w:rPr>
                <w:rFonts w:hint="eastAsia" w:ascii="宋体" w:hAnsi="宋体" w:cs="宋体"/>
                <w:szCs w:val="21"/>
              </w:rPr>
              <w:t>15</w:t>
            </w:r>
          </w:p>
        </w:tc>
        <w:tc>
          <w:tcPr>
            <w:tcW w:w="1880" w:type="dxa"/>
            <w:tcBorders>
              <w:top w:val="single" w:color="auto" w:sz="4" w:space="0"/>
              <w:left w:val="single" w:color="auto" w:sz="4" w:space="0"/>
              <w:bottom w:val="single" w:color="auto" w:sz="4" w:space="0"/>
              <w:right w:val="single" w:color="auto" w:sz="4" w:space="0"/>
            </w:tcBorders>
            <w:vAlign w:val="center"/>
          </w:tcPr>
          <w:p w14:paraId="73E0F58C">
            <w:pPr>
              <w:autoSpaceDE w:val="0"/>
              <w:autoSpaceDN w:val="0"/>
              <w:adjustRightInd w:val="0"/>
              <w:rPr>
                <w:rFonts w:ascii="宋体" w:hAnsi="宋体" w:cs="宋体"/>
                <w:szCs w:val="21"/>
              </w:rPr>
            </w:pPr>
            <w:r>
              <w:rPr>
                <w:rFonts w:asciiTheme="minorEastAsia" w:hAnsiTheme="minorEastAsia" w:eastAsiaTheme="minorEastAsia"/>
              </w:rPr>
              <w:t>主要性能参数</w:t>
            </w:r>
            <w:r>
              <w:rPr>
                <w:rFonts w:hint="eastAsia" w:asciiTheme="minorEastAsia" w:hAnsiTheme="minorEastAsia" w:eastAsiaTheme="minorEastAsia"/>
              </w:rPr>
              <w:t>（如有）</w:t>
            </w:r>
          </w:p>
        </w:tc>
        <w:tc>
          <w:tcPr>
            <w:tcW w:w="6203" w:type="dxa"/>
            <w:tcBorders>
              <w:top w:val="single" w:color="auto" w:sz="4" w:space="0"/>
              <w:left w:val="single" w:color="auto" w:sz="4" w:space="0"/>
              <w:bottom w:val="single" w:color="auto" w:sz="4" w:space="0"/>
              <w:right w:val="single" w:color="auto" w:sz="4" w:space="0"/>
            </w:tcBorders>
            <w:vAlign w:val="center"/>
          </w:tcPr>
          <w:p w14:paraId="53A6A645">
            <w:pPr>
              <w:autoSpaceDE w:val="0"/>
              <w:autoSpaceDN w:val="0"/>
              <w:adjustRightInd w:val="0"/>
              <w:rPr>
                <w:rFonts w:cs="宋体"/>
                <w:szCs w:val="21"/>
              </w:rPr>
            </w:pPr>
            <w:r>
              <w:rPr>
                <w:rFonts w:hint="eastAsia" w:ascii="宋体" w:hAnsi="宋体" w:cs="宋体"/>
                <w:szCs w:val="21"/>
              </w:rPr>
              <w:t>带“★”的条款是</w:t>
            </w:r>
            <w:r>
              <w:rPr>
                <w:rFonts w:asciiTheme="minorEastAsia" w:hAnsiTheme="minorEastAsia" w:eastAsiaTheme="minorEastAsia"/>
              </w:rPr>
              <w:t>主要性能参数</w:t>
            </w:r>
            <w:r>
              <w:rPr>
                <w:rFonts w:hint="eastAsia" w:asciiTheme="minorEastAsia" w:hAnsiTheme="minorEastAsia" w:eastAsiaTheme="minorEastAsia"/>
              </w:rPr>
              <w:t>。</w:t>
            </w:r>
          </w:p>
        </w:tc>
      </w:tr>
    </w:tbl>
    <w:p w14:paraId="2E8F98B5">
      <w:pPr>
        <w:pStyle w:val="14"/>
        <w:adjustRightInd w:val="0"/>
        <w:snapToGrid w:val="0"/>
        <w:spacing w:line="360" w:lineRule="auto"/>
        <w:rPr>
          <w:rFonts w:hAnsi="宋体"/>
          <w:b/>
          <w:sz w:val="24"/>
        </w:rPr>
      </w:pPr>
      <w:r>
        <w:rPr>
          <w:rFonts w:hint="eastAsia" w:hAnsi="宋体"/>
          <w:b/>
          <w:sz w:val="24"/>
        </w:rPr>
        <w:t>二、总  则</w:t>
      </w:r>
    </w:p>
    <w:p w14:paraId="6351A79C">
      <w:pPr>
        <w:pStyle w:val="14"/>
        <w:adjustRightInd w:val="0"/>
        <w:snapToGrid w:val="0"/>
        <w:spacing w:line="360" w:lineRule="auto"/>
        <w:ind w:firstLine="361" w:firstLineChars="150"/>
        <w:rPr>
          <w:rFonts w:hAnsi="宋体"/>
          <w:b/>
          <w:sz w:val="24"/>
        </w:rPr>
      </w:pPr>
      <w:r>
        <w:rPr>
          <w:rFonts w:hint="eastAsia" w:hAnsi="宋体"/>
          <w:b/>
          <w:sz w:val="24"/>
        </w:rPr>
        <w:t>（一）</w:t>
      </w:r>
      <w:r>
        <w:rPr>
          <w:rFonts w:hAnsi="宋体"/>
          <w:b/>
          <w:sz w:val="24"/>
        </w:rPr>
        <w:t xml:space="preserve"> 适用范围</w:t>
      </w:r>
    </w:p>
    <w:p w14:paraId="067DA257">
      <w:pPr>
        <w:pStyle w:val="14"/>
        <w:adjustRightInd w:val="0"/>
        <w:snapToGrid w:val="0"/>
        <w:spacing w:line="360" w:lineRule="auto"/>
        <w:ind w:left="2" w:leftChars="1" w:firstLine="480" w:firstLineChars="200"/>
        <w:rPr>
          <w:rFonts w:hAnsi="宋体"/>
          <w:sz w:val="24"/>
        </w:rPr>
      </w:pPr>
      <w:r>
        <w:rPr>
          <w:rFonts w:hint="eastAsia" w:hAnsi="宋体"/>
          <w:sz w:val="24"/>
        </w:rPr>
        <w:t>本</w:t>
      </w:r>
      <w:r>
        <w:rPr>
          <w:rFonts w:hint="eastAsia" w:hAnsi="宋体"/>
          <w:bCs/>
          <w:sz w:val="24"/>
        </w:rPr>
        <w:t>磋商文件</w:t>
      </w:r>
      <w:r>
        <w:rPr>
          <w:rFonts w:hint="eastAsia" w:hAnsi="宋体"/>
          <w:sz w:val="24"/>
        </w:rPr>
        <w:t>适用于</w:t>
      </w:r>
      <w:r>
        <w:rPr>
          <w:rFonts w:hint="eastAsia" w:hAnsi="宋体"/>
          <w:bCs/>
          <w:sz w:val="24"/>
        </w:rPr>
        <w:t>本次</w:t>
      </w:r>
      <w:r>
        <w:rPr>
          <w:rFonts w:hint="eastAsia" w:hAnsi="宋体"/>
          <w:sz w:val="24"/>
        </w:rPr>
        <w:t>项目的磋商、</w:t>
      </w:r>
      <w:r>
        <w:rPr>
          <w:rFonts w:hint="eastAsia" w:hAnsi="宋体"/>
          <w:bCs/>
          <w:sz w:val="24"/>
        </w:rPr>
        <w:t>评审、确定成交供应商</w:t>
      </w:r>
      <w:r>
        <w:rPr>
          <w:rFonts w:hint="eastAsia" w:hAnsi="宋体"/>
          <w:sz w:val="24"/>
        </w:rPr>
        <w:t>、验收、合同履约、付款等行为（法律、法规另有规定的，从其规定）。</w:t>
      </w:r>
    </w:p>
    <w:p w14:paraId="39C27F4A">
      <w:pPr>
        <w:pStyle w:val="14"/>
        <w:adjustRightInd w:val="0"/>
        <w:snapToGrid w:val="0"/>
        <w:spacing w:line="360" w:lineRule="auto"/>
        <w:ind w:left="2" w:leftChars="1" w:firstLine="480" w:firstLineChars="200"/>
        <w:rPr>
          <w:rFonts w:hAnsi="宋体"/>
          <w:sz w:val="24"/>
        </w:rPr>
      </w:pPr>
      <w:r>
        <w:rPr>
          <w:rFonts w:hAnsi="宋体"/>
          <w:sz w:val="24"/>
        </w:rPr>
        <w:t>本</w:t>
      </w:r>
      <w:r>
        <w:rPr>
          <w:rFonts w:hint="eastAsia" w:hAnsi="宋体"/>
          <w:sz w:val="24"/>
        </w:rPr>
        <w:t>磋商</w:t>
      </w:r>
      <w:r>
        <w:rPr>
          <w:rFonts w:hAnsi="宋体"/>
          <w:sz w:val="24"/>
        </w:rPr>
        <w:t>文件仅适用于本次</w:t>
      </w:r>
      <w:r>
        <w:rPr>
          <w:rFonts w:hint="eastAsia" w:hAnsi="宋体"/>
          <w:sz w:val="24"/>
        </w:rPr>
        <w:t>采购</w:t>
      </w:r>
      <w:r>
        <w:rPr>
          <w:rFonts w:hAnsi="宋体"/>
          <w:sz w:val="24"/>
        </w:rPr>
        <w:t>公告中所涉及的项目和内容。</w:t>
      </w:r>
    </w:p>
    <w:p w14:paraId="58A8D6C3">
      <w:pPr>
        <w:adjustRightInd w:val="0"/>
        <w:snapToGrid w:val="0"/>
        <w:spacing w:line="360" w:lineRule="auto"/>
        <w:ind w:firstLine="482" w:firstLineChars="200"/>
        <w:jc w:val="left"/>
        <w:rPr>
          <w:rFonts w:ascii="宋体" w:hAnsi="宋体"/>
          <w:sz w:val="24"/>
          <w:szCs w:val="24"/>
        </w:rPr>
      </w:pPr>
      <w:r>
        <w:rPr>
          <w:rFonts w:hint="eastAsia" w:ascii="宋体" w:hAnsi="宋体"/>
          <w:b/>
          <w:sz w:val="24"/>
        </w:rPr>
        <w:t>（二）定义</w:t>
      </w:r>
    </w:p>
    <w:p w14:paraId="558314F2">
      <w:pPr>
        <w:pStyle w:val="14"/>
        <w:adjustRightInd w:val="0"/>
        <w:snapToGrid w:val="0"/>
        <w:spacing w:line="360" w:lineRule="auto"/>
        <w:ind w:left="2" w:leftChars="1" w:firstLine="480" w:firstLineChars="200"/>
        <w:rPr>
          <w:rFonts w:hAnsi="宋体"/>
          <w:sz w:val="24"/>
        </w:rPr>
      </w:pPr>
      <w:r>
        <w:rPr>
          <w:rFonts w:hint="eastAsia" w:hAnsi="宋体"/>
          <w:sz w:val="24"/>
        </w:rPr>
        <w:t>1.采购人：是指本次项目的需求方。</w:t>
      </w:r>
    </w:p>
    <w:p w14:paraId="6962AE86">
      <w:pPr>
        <w:pStyle w:val="14"/>
        <w:adjustRightInd w:val="0"/>
        <w:snapToGrid w:val="0"/>
        <w:spacing w:line="360" w:lineRule="auto"/>
        <w:ind w:left="2" w:leftChars="1" w:firstLine="480" w:firstLineChars="200"/>
        <w:rPr>
          <w:rFonts w:hAnsi="宋体"/>
          <w:sz w:val="24"/>
        </w:rPr>
      </w:pPr>
      <w:r>
        <w:rPr>
          <w:rFonts w:hint="eastAsia" w:hAnsi="宋体"/>
          <w:sz w:val="24"/>
        </w:rPr>
        <w:t>2.磋商供应商/供应商：是指向</w:t>
      </w:r>
      <w:r>
        <w:rPr>
          <w:rFonts w:hint="eastAsia" w:hAnsi="宋体"/>
          <w:sz w:val="24"/>
          <w:lang w:val="en-US" w:eastAsia="zh-CN"/>
        </w:rPr>
        <w:t>采购人</w:t>
      </w:r>
      <w:r>
        <w:rPr>
          <w:rFonts w:hint="eastAsia" w:hAnsi="宋体"/>
          <w:sz w:val="24"/>
        </w:rPr>
        <w:t>提交磋商响应文件的单位或个人。</w:t>
      </w:r>
    </w:p>
    <w:p w14:paraId="4D14963B">
      <w:pPr>
        <w:pStyle w:val="14"/>
        <w:adjustRightInd w:val="0"/>
        <w:snapToGrid w:val="0"/>
        <w:spacing w:line="360" w:lineRule="auto"/>
        <w:ind w:left="2" w:leftChars="1" w:firstLine="480" w:firstLineChars="200"/>
        <w:rPr>
          <w:rFonts w:hAnsi="宋体"/>
          <w:sz w:val="24"/>
        </w:rPr>
      </w:pPr>
      <w:r>
        <w:rPr>
          <w:rFonts w:hint="eastAsia" w:hAnsi="宋体"/>
          <w:sz w:val="24"/>
        </w:rPr>
        <w:t>3.货物：是指各种形态和种类的物品，包括原材料、燃料、设备、产品等。</w:t>
      </w:r>
    </w:p>
    <w:p w14:paraId="5ECD5E2C">
      <w:pPr>
        <w:pStyle w:val="14"/>
        <w:adjustRightInd w:val="0"/>
        <w:snapToGrid w:val="0"/>
        <w:spacing w:line="360" w:lineRule="auto"/>
        <w:ind w:left="2" w:leftChars="1" w:firstLine="480" w:firstLineChars="200"/>
        <w:rPr>
          <w:rFonts w:hAnsi="宋体"/>
          <w:sz w:val="24"/>
        </w:rPr>
      </w:pPr>
      <w:r>
        <w:rPr>
          <w:rFonts w:hint="eastAsia" w:hAnsi="宋体"/>
          <w:sz w:val="24"/>
        </w:rPr>
        <w:t>4.服务：是指除货物和工程以外的采购</w:t>
      </w:r>
      <w:r>
        <w:rPr>
          <w:rFonts w:hAnsi="宋体"/>
          <w:sz w:val="24"/>
        </w:rPr>
        <w:t>对象，包括各类专业服务、信息网络开发服务、金融保险服务、运输服务，以及维修与维护服务等。</w:t>
      </w:r>
    </w:p>
    <w:p w14:paraId="35D710ED">
      <w:pPr>
        <w:pStyle w:val="14"/>
        <w:adjustRightInd w:val="0"/>
        <w:snapToGrid w:val="0"/>
        <w:spacing w:line="360" w:lineRule="auto"/>
        <w:ind w:left="2" w:leftChars="1" w:firstLine="480" w:firstLineChars="200"/>
        <w:rPr>
          <w:rFonts w:hAnsi="宋体"/>
          <w:b/>
          <w:sz w:val="24"/>
        </w:rPr>
      </w:pPr>
      <w:r>
        <w:rPr>
          <w:rFonts w:hint="eastAsia" w:hAnsi="宋体"/>
          <w:sz w:val="24"/>
        </w:rPr>
        <w:t>5.</w:t>
      </w:r>
      <w:r>
        <w:rPr>
          <w:rFonts w:hAnsi="宋体"/>
          <w:sz w:val="24"/>
        </w:rPr>
        <w:t>“书面形式”包括信函、传真等。</w:t>
      </w:r>
    </w:p>
    <w:p w14:paraId="3EFAECDC">
      <w:pPr>
        <w:pStyle w:val="14"/>
        <w:adjustRightInd w:val="0"/>
        <w:snapToGrid w:val="0"/>
        <w:spacing w:line="360" w:lineRule="auto"/>
        <w:ind w:left="2" w:leftChars="1" w:firstLine="480" w:firstLineChars="200"/>
        <w:rPr>
          <w:rFonts w:hAnsi="宋体"/>
          <w:sz w:val="24"/>
        </w:rPr>
      </w:pPr>
      <w:r>
        <w:rPr>
          <w:rFonts w:hint="eastAsia" w:hAnsi="宋体"/>
          <w:sz w:val="24"/>
        </w:rPr>
        <w:t>6.</w:t>
      </w:r>
      <w:r>
        <w:rPr>
          <w:rFonts w:hAnsi="宋体"/>
          <w:sz w:val="24"/>
        </w:rPr>
        <w:t>“▲”系指实质性要求条款。</w:t>
      </w:r>
    </w:p>
    <w:p w14:paraId="4D8ED791">
      <w:pPr>
        <w:pStyle w:val="14"/>
        <w:adjustRightInd w:val="0"/>
        <w:snapToGrid w:val="0"/>
        <w:spacing w:line="360" w:lineRule="auto"/>
        <w:ind w:left="2" w:leftChars="1" w:firstLine="482" w:firstLineChars="200"/>
        <w:rPr>
          <w:rFonts w:hAnsi="宋体"/>
          <w:b/>
          <w:sz w:val="24"/>
          <w:highlight w:val="none"/>
        </w:rPr>
      </w:pPr>
      <w:r>
        <w:rPr>
          <w:rFonts w:hint="eastAsia" w:hAnsi="宋体"/>
          <w:b/>
          <w:sz w:val="24"/>
          <w:highlight w:val="none"/>
        </w:rPr>
        <w:t>（三）磋商费用</w:t>
      </w:r>
    </w:p>
    <w:p w14:paraId="16465DD3">
      <w:pPr>
        <w:pStyle w:val="14"/>
        <w:adjustRightInd w:val="0"/>
        <w:snapToGrid w:val="0"/>
        <w:spacing w:line="360" w:lineRule="auto"/>
        <w:ind w:left="2" w:leftChars="1" w:firstLine="480" w:firstLineChars="200"/>
        <w:rPr>
          <w:rFonts w:hAnsi="宋体"/>
          <w:sz w:val="24"/>
          <w:highlight w:val="none"/>
        </w:rPr>
      </w:pPr>
      <w:r>
        <w:rPr>
          <w:rFonts w:hint="eastAsia" w:hAnsi="宋体"/>
          <w:sz w:val="24"/>
          <w:highlight w:val="none"/>
        </w:rPr>
        <w:t>1.无论竞争性磋商过程和结果如何，磋商响应方自行承担与磋商响应有关的全部费用。</w:t>
      </w:r>
    </w:p>
    <w:p w14:paraId="55FB14F9">
      <w:pPr>
        <w:pStyle w:val="14"/>
        <w:adjustRightInd w:val="0"/>
        <w:snapToGrid w:val="0"/>
        <w:spacing w:line="360" w:lineRule="auto"/>
        <w:ind w:left="2" w:leftChars="1" w:firstLine="480" w:firstLineChars="200"/>
        <w:rPr>
          <w:rFonts w:hAnsi="宋体"/>
          <w:sz w:val="24"/>
          <w:highlight w:val="none"/>
        </w:rPr>
      </w:pPr>
      <w:r>
        <w:rPr>
          <w:rFonts w:hint="eastAsia" w:hAnsi="宋体"/>
          <w:sz w:val="24"/>
          <w:highlight w:val="none"/>
        </w:rPr>
        <w:t>2.磋商文件售价：0元。</w:t>
      </w:r>
    </w:p>
    <w:p w14:paraId="69C6C60D">
      <w:pPr>
        <w:pStyle w:val="14"/>
        <w:adjustRightInd w:val="0"/>
        <w:snapToGrid w:val="0"/>
        <w:spacing w:line="360" w:lineRule="auto"/>
        <w:ind w:left="2" w:leftChars="1" w:firstLine="482" w:firstLineChars="200"/>
        <w:rPr>
          <w:rFonts w:hAnsi="宋体"/>
          <w:b/>
          <w:sz w:val="24"/>
        </w:rPr>
      </w:pPr>
      <w:r>
        <w:rPr>
          <w:rFonts w:hint="eastAsia" w:hAnsi="宋体"/>
          <w:b/>
          <w:sz w:val="24"/>
        </w:rPr>
        <w:t>（四）特别说明</w:t>
      </w:r>
    </w:p>
    <w:p w14:paraId="05671A9A">
      <w:pPr>
        <w:pStyle w:val="14"/>
        <w:adjustRightInd w:val="0"/>
        <w:snapToGrid w:val="0"/>
        <w:spacing w:line="360" w:lineRule="auto"/>
        <w:ind w:left="2" w:leftChars="1" w:firstLine="480" w:firstLineChars="200"/>
        <w:rPr>
          <w:rFonts w:hAnsi="宋体"/>
          <w:sz w:val="24"/>
        </w:rPr>
      </w:pPr>
      <w:r>
        <w:rPr>
          <w:rFonts w:hint="eastAsia" w:hAnsi="宋体"/>
          <w:sz w:val="24"/>
        </w:rPr>
        <w:t>1.供应商</w:t>
      </w:r>
      <w:r>
        <w:rPr>
          <w:rFonts w:hAnsi="宋体"/>
          <w:sz w:val="24"/>
        </w:rPr>
        <w:t>磋商所使用的资格、信誉、荣誉、业绩与企业认证必须为本法人所拥有（供应商按采购文件要求提供第三方相关证书、证明材料的除外）。</w:t>
      </w:r>
      <w:r>
        <w:rPr>
          <w:rFonts w:hint="eastAsia" w:hAnsi="宋体"/>
          <w:sz w:val="24"/>
        </w:rPr>
        <w:t>供应商</w:t>
      </w:r>
      <w:r>
        <w:rPr>
          <w:rFonts w:hAnsi="宋体"/>
          <w:sz w:val="24"/>
        </w:rPr>
        <w:t>磋商所使用的采购项目实施人员必须为本法人员工（</w:t>
      </w:r>
      <w:r>
        <w:rPr>
          <w:rFonts w:hint="eastAsia" w:hAnsi="宋体"/>
          <w:sz w:val="24"/>
        </w:rPr>
        <w:t>或</w:t>
      </w:r>
      <w:r>
        <w:rPr>
          <w:rFonts w:hAnsi="宋体"/>
          <w:sz w:val="24"/>
        </w:rPr>
        <w:t>必须为本法人控股公司正式员工）。</w:t>
      </w:r>
    </w:p>
    <w:p w14:paraId="07458AF1">
      <w:pPr>
        <w:pStyle w:val="14"/>
        <w:adjustRightInd w:val="0"/>
        <w:snapToGrid w:val="0"/>
        <w:spacing w:line="360" w:lineRule="auto"/>
        <w:ind w:left="2" w:leftChars="1" w:firstLine="480" w:firstLineChars="200"/>
        <w:rPr>
          <w:rFonts w:hAnsi="宋体"/>
          <w:sz w:val="24"/>
        </w:rPr>
      </w:pPr>
      <w:r>
        <w:rPr>
          <w:rFonts w:hint="eastAsia" w:hAnsi="宋体"/>
          <w:sz w:val="24"/>
        </w:rPr>
        <w:t>2.供应商</w:t>
      </w:r>
      <w:r>
        <w:rPr>
          <w:rFonts w:hAnsi="宋体"/>
          <w:sz w:val="24"/>
        </w:rPr>
        <w:t>在</w:t>
      </w:r>
      <w:r>
        <w:rPr>
          <w:rFonts w:hint="eastAsia" w:hAnsi="宋体"/>
          <w:bCs/>
          <w:sz w:val="24"/>
        </w:rPr>
        <w:t>磋商</w:t>
      </w:r>
      <w:r>
        <w:rPr>
          <w:rFonts w:hAnsi="宋体"/>
          <w:sz w:val="24"/>
        </w:rPr>
        <w:t>活动中提供任何虚假材料</w:t>
      </w:r>
      <w:r>
        <w:rPr>
          <w:rFonts w:hint="eastAsia" w:hAnsi="宋体"/>
          <w:sz w:val="24"/>
        </w:rPr>
        <w:t>,</w:t>
      </w:r>
      <w:r>
        <w:rPr>
          <w:rFonts w:hAnsi="宋体"/>
          <w:sz w:val="24"/>
        </w:rPr>
        <w:t>其</w:t>
      </w:r>
      <w:r>
        <w:rPr>
          <w:rFonts w:hint="eastAsia" w:hAnsi="宋体"/>
          <w:sz w:val="24"/>
        </w:rPr>
        <w:t>响应</w:t>
      </w:r>
      <w:r>
        <w:rPr>
          <w:rFonts w:hAnsi="宋体"/>
          <w:sz w:val="24"/>
        </w:rPr>
        <w:t>无效</w:t>
      </w:r>
      <w:r>
        <w:rPr>
          <w:rFonts w:hint="eastAsia" w:hAnsi="宋体"/>
          <w:sz w:val="24"/>
        </w:rPr>
        <w:t>。</w:t>
      </w:r>
    </w:p>
    <w:p w14:paraId="2B75BEA7">
      <w:pPr>
        <w:pStyle w:val="14"/>
        <w:adjustRightInd w:val="0"/>
        <w:snapToGrid w:val="0"/>
        <w:spacing w:line="360" w:lineRule="auto"/>
        <w:ind w:left="2" w:leftChars="1" w:firstLine="480" w:firstLineChars="200"/>
        <w:rPr>
          <w:rFonts w:hAnsi="宋体"/>
          <w:sz w:val="24"/>
        </w:rPr>
      </w:pPr>
      <w:r>
        <w:rPr>
          <w:rFonts w:hint="eastAsia" w:hAnsi="宋体"/>
          <w:sz w:val="24"/>
        </w:rPr>
        <w:t>3.供应商不得相互串通磋商报价，不得妨碍其他供应商的公平竞争，不得损害采购人或其他供应商的合法权益，供应商不得以向采购人、磋商小组成员行贿或者采取其他不正当手段谋取成交。</w:t>
      </w:r>
    </w:p>
    <w:p w14:paraId="508C7191">
      <w:pPr>
        <w:pStyle w:val="14"/>
        <w:adjustRightInd w:val="0"/>
        <w:snapToGrid w:val="0"/>
        <w:spacing w:line="360" w:lineRule="auto"/>
        <w:ind w:left="2" w:leftChars="1" w:firstLine="480" w:firstLineChars="200"/>
        <w:rPr>
          <w:rFonts w:hAnsi="宋体"/>
          <w:sz w:val="24"/>
        </w:rPr>
      </w:pPr>
      <w:r>
        <w:rPr>
          <w:rFonts w:hint="eastAsia" w:hAnsi="宋体"/>
          <w:sz w:val="24"/>
        </w:rPr>
        <w:t>4.为采购项目提供整体设计、规范编制或者项目管理、监理、检测等服务的供应商，不得再参加该采购项目的其他采购活动。</w:t>
      </w:r>
    </w:p>
    <w:p w14:paraId="199ECA32">
      <w:pPr>
        <w:pStyle w:val="14"/>
        <w:adjustRightInd w:val="0"/>
        <w:snapToGrid w:val="0"/>
        <w:spacing w:line="360" w:lineRule="auto"/>
        <w:ind w:left="2" w:leftChars="1" w:firstLine="480" w:firstLineChars="200"/>
        <w:rPr>
          <w:rFonts w:hAnsi="宋体"/>
          <w:sz w:val="24"/>
        </w:rPr>
      </w:pPr>
      <w:r>
        <w:rPr>
          <w:rFonts w:hint="eastAsia" w:hAnsi="宋体"/>
          <w:sz w:val="24"/>
        </w:rPr>
        <w:t>5.磋商响应文件格式中的表格式样可以根据项目差别做适当调整,但应当保持表格样式基本形态不变。</w:t>
      </w:r>
    </w:p>
    <w:p w14:paraId="4CF18D89">
      <w:pPr>
        <w:pStyle w:val="14"/>
        <w:adjustRightInd w:val="0"/>
        <w:snapToGrid w:val="0"/>
        <w:spacing w:line="360" w:lineRule="auto"/>
        <w:ind w:left="2" w:leftChars="1" w:firstLine="480" w:firstLineChars="200"/>
        <w:rPr>
          <w:rFonts w:hAnsi="宋体"/>
          <w:sz w:val="24"/>
        </w:rPr>
      </w:pPr>
      <w:r>
        <w:rPr>
          <w:rFonts w:hint="eastAsia" w:hAnsi="宋体"/>
          <w:sz w:val="24"/>
        </w:rPr>
        <w:t>6.单位负责人为同一人或者存在直接控股、管理关系的不同供应商，不得参加同一合同项下的采购活动。</w:t>
      </w:r>
    </w:p>
    <w:p w14:paraId="463CFE56">
      <w:pPr>
        <w:pStyle w:val="14"/>
        <w:adjustRightInd w:val="0"/>
        <w:snapToGrid w:val="0"/>
        <w:spacing w:line="360" w:lineRule="auto"/>
        <w:ind w:left="2" w:leftChars="1" w:firstLine="480" w:firstLineChars="200"/>
        <w:rPr>
          <w:rFonts w:hAnsi="宋体"/>
          <w:b/>
          <w:bCs/>
          <w:sz w:val="24"/>
        </w:rPr>
      </w:pPr>
      <w:r>
        <w:rPr>
          <w:rFonts w:hint="eastAsia" w:hAnsi="宋体"/>
          <w:sz w:val="24"/>
        </w:rPr>
        <w:t>7.本项目不允许分包。</w:t>
      </w:r>
    </w:p>
    <w:p w14:paraId="217BC09C">
      <w:pPr>
        <w:pStyle w:val="14"/>
        <w:adjustRightInd w:val="0"/>
        <w:snapToGrid w:val="0"/>
        <w:spacing w:line="360" w:lineRule="auto"/>
        <w:rPr>
          <w:rFonts w:hAnsi="宋体"/>
          <w:b/>
          <w:sz w:val="24"/>
        </w:rPr>
      </w:pPr>
      <w:r>
        <w:rPr>
          <w:rFonts w:hint="eastAsia" w:hAnsi="宋体"/>
          <w:b/>
          <w:sz w:val="24"/>
        </w:rPr>
        <w:t>三、磋商</w:t>
      </w:r>
      <w:r>
        <w:rPr>
          <w:rFonts w:hAnsi="宋体"/>
          <w:b/>
          <w:sz w:val="24"/>
        </w:rPr>
        <w:t>响应</w:t>
      </w:r>
      <w:r>
        <w:rPr>
          <w:rFonts w:hint="eastAsia" w:hAnsi="宋体"/>
          <w:b/>
          <w:sz w:val="24"/>
        </w:rPr>
        <w:t>文件</w:t>
      </w:r>
    </w:p>
    <w:p w14:paraId="40C7D75A">
      <w:pPr>
        <w:adjustRightInd w:val="0"/>
        <w:snapToGrid w:val="0"/>
        <w:spacing w:line="360" w:lineRule="auto"/>
        <w:ind w:firstLine="482" w:firstLineChars="200"/>
        <w:rPr>
          <w:rFonts w:ascii="宋体" w:hAnsi="宋体"/>
          <w:b/>
          <w:sz w:val="24"/>
          <w:szCs w:val="24"/>
        </w:rPr>
      </w:pPr>
      <w:r>
        <w:rPr>
          <w:rFonts w:hint="eastAsia" w:ascii="宋体" w:hAnsi="宋体"/>
          <w:b/>
          <w:sz w:val="24"/>
          <w:szCs w:val="24"/>
        </w:rPr>
        <w:t>（一）</w:t>
      </w:r>
      <w:r>
        <w:rPr>
          <w:rFonts w:ascii="宋体" w:hAnsi="宋体"/>
          <w:b/>
          <w:sz w:val="24"/>
          <w:szCs w:val="24"/>
        </w:rPr>
        <w:t>响应文件的</w:t>
      </w:r>
      <w:r>
        <w:rPr>
          <w:rFonts w:hint="eastAsia" w:ascii="宋体" w:hAnsi="宋体"/>
          <w:b/>
          <w:sz w:val="24"/>
          <w:szCs w:val="24"/>
        </w:rPr>
        <w:t>构成</w:t>
      </w:r>
    </w:p>
    <w:p w14:paraId="3B1E62C4">
      <w:pPr>
        <w:adjustRightInd w:val="0"/>
        <w:snapToGrid w:val="0"/>
        <w:spacing w:line="360" w:lineRule="auto"/>
        <w:ind w:firstLine="480" w:firstLineChars="200"/>
        <w:rPr>
          <w:rFonts w:ascii="宋体" w:hAnsi="宋体"/>
          <w:sz w:val="24"/>
          <w:szCs w:val="24"/>
        </w:rPr>
      </w:pPr>
      <w:r>
        <w:rPr>
          <w:rFonts w:hint="eastAsia" w:ascii="宋体" w:hAnsi="宋体"/>
          <w:sz w:val="24"/>
          <w:szCs w:val="24"/>
        </w:rPr>
        <w:t>磋商供应商应当按照以下内容及顺序要求制作磋商响应文件，以下内容统一装订于一册：</w:t>
      </w:r>
    </w:p>
    <w:p w14:paraId="7F82CA34">
      <w:pPr>
        <w:adjustRightInd w:val="0"/>
        <w:snapToGrid w:val="0"/>
        <w:spacing w:line="360" w:lineRule="auto"/>
        <w:ind w:firstLine="482" w:firstLineChars="200"/>
        <w:rPr>
          <w:rFonts w:ascii="宋体" w:hAnsi="宋体"/>
          <w:b/>
          <w:sz w:val="24"/>
          <w:szCs w:val="24"/>
        </w:rPr>
      </w:pPr>
      <w:r>
        <w:rPr>
          <w:rFonts w:hint="eastAsia" w:ascii="宋体" w:hAnsi="宋体"/>
          <w:b/>
          <w:sz w:val="24"/>
          <w:szCs w:val="24"/>
        </w:rPr>
        <w:t>1.评分索引表（附件3）</w:t>
      </w:r>
    </w:p>
    <w:p w14:paraId="580084C6">
      <w:pPr>
        <w:adjustRightInd w:val="0"/>
        <w:snapToGrid w:val="0"/>
        <w:spacing w:line="360" w:lineRule="auto"/>
        <w:ind w:firstLine="482" w:firstLineChars="200"/>
        <w:rPr>
          <w:rFonts w:ascii="宋体" w:hAnsi="宋体"/>
          <w:b/>
          <w:sz w:val="24"/>
          <w:szCs w:val="24"/>
        </w:rPr>
      </w:pPr>
      <w:r>
        <w:rPr>
          <w:rFonts w:hint="eastAsia" w:ascii="宋体" w:hAnsi="宋体"/>
          <w:b/>
          <w:sz w:val="24"/>
          <w:szCs w:val="24"/>
        </w:rPr>
        <w:t>2.报价单：</w:t>
      </w:r>
    </w:p>
    <w:p w14:paraId="01636BF7">
      <w:pPr>
        <w:adjustRightInd w:val="0"/>
        <w:snapToGrid w:val="0"/>
        <w:spacing w:line="360" w:lineRule="auto"/>
        <w:ind w:firstLine="480" w:firstLineChars="200"/>
        <w:rPr>
          <w:rFonts w:ascii="宋体" w:hAnsi="宋体"/>
          <w:sz w:val="24"/>
          <w:szCs w:val="24"/>
        </w:rPr>
      </w:pPr>
      <w:r>
        <w:rPr>
          <w:rFonts w:hint="eastAsia" w:ascii="宋体" w:hAnsi="宋体"/>
          <w:kern w:val="0"/>
          <w:sz w:val="24"/>
        </w:rPr>
        <w:t>①</w:t>
      </w:r>
      <w:r>
        <w:rPr>
          <w:rFonts w:hint="eastAsia" w:ascii="宋体" w:hAnsi="宋体"/>
          <w:sz w:val="24"/>
          <w:szCs w:val="24"/>
        </w:rPr>
        <w:t>首次报价一览表（附件4）；</w:t>
      </w:r>
    </w:p>
    <w:p w14:paraId="12DC8ED8">
      <w:pPr>
        <w:autoSpaceDE w:val="0"/>
        <w:autoSpaceDN w:val="0"/>
        <w:adjustRightInd w:val="0"/>
        <w:snapToGrid w:val="0"/>
        <w:spacing w:line="360" w:lineRule="auto"/>
        <w:ind w:firstLine="482" w:firstLineChars="200"/>
        <w:jc w:val="left"/>
        <w:rPr>
          <w:rFonts w:ascii="宋体" w:hAnsi="宋体" w:cs="宋体"/>
          <w:b/>
          <w:kern w:val="0"/>
          <w:sz w:val="24"/>
        </w:rPr>
      </w:pPr>
      <w:r>
        <w:rPr>
          <w:rFonts w:hint="eastAsia" w:ascii="宋体" w:hAnsi="宋体"/>
          <w:b/>
          <w:kern w:val="0"/>
          <w:sz w:val="24"/>
        </w:rPr>
        <w:t>3.</w:t>
      </w:r>
      <w:r>
        <w:rPr>
          <w:rFonts w:hint="eastAsia" w:ascii="宋体" w:hAnsi="宋体" w:cs="宋体"/>
          <w:b/>
          <w:kern w:val="0"/>
          <w:sz w:val="24"/>
        </w:rPr>
        <w:t>资信与技术文件</w:t>
      </w:r>
    </w:p>
    <w:p w14:paraId="4D7D8DE2">
      <w:pPr>
        <w:autoSpaceDE w:val="0"/>
        <w:autoSpaceDN w:val="0"/>
        <w:adjustRightInd w:val="0"/>
        <w:snapToGrid w:val="0"/>
        <w:spacing w:line="360" w:lineRule="auto"/>
        <w:ind w:firstLine="482" w:firstLineChars="200"/>
        <w:rPr>
          <w:rFonts w:ascii="宋体" w:hAnsi="宋体"/>
          <w:b/>
          <w:kern w:val="0"/>
          <w:sz w:val="24"/>
        </w:rPr>
      </w:pPr>
      <w:r>
        <w:rPr>
          <w:rFonts w:hint="eastAsia" w:ascii="宋体" w:hAnsi="宋体" w:cs="宋体"/>
          <w:b/>
          <w:sz w:val="24"/>
        </w:rPr>
        <w:t>（1）资格证明部分</w:t>
      </w:r>
    </w:p>
    <w:p w14:paraId="7C7A03B2">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①声明书（附件5）；</w:t>
      </w:r>
    </w:p>
    <w:p w14:paraId="754FD917">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②</w:t>
      </w:r>
      <w:r>
        <w:rPr>
          <w:rFonts w:hint="eastAsia" w:ascii="宋体" w:hAnsi="宋体"/>
          <w:sz w:val="24"/>
        </w:rPr>
        <w:t>法定代表人授权书</w:t>
      </w:r>
      <w:r>
        <w:rPr>
          <w:rFonts w:hint="eastAsia" w:ascii="宋体" w:hAnsi="宋体"/>
          <w:kern w:val="0"/>
          <w:sz w:val="24"/>
        </w:rPr>
        <w:t>（附件6，法定代表人亲自办理磋商事宜的仅需提供身份证复印件，则无需提交本授权书)；</w:t>
      </w:r>
    </w:p>
    <w:p w14:paraId="018DFBC7">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③企业法人具有统一社会信用代码的有效营业执照复印件；</w:t>
      </w:r>
      <w:r>
        <w:rPr>
          <w:rFonts w:hint="eastAsia" w:ascii="宋体" w:hAnsi="宋体" w:cs="宋体"/>
          <w:sz w:val="24"/>
        </w:rPr>
        <w:t>如事业单位参加磋商的，则提供有效的《事业单位法人证书》复印件</w:t>
      </w:r>
      <w:r>
        <w:rPr>
          <w:rFonts w:hint="eastAsia" w:ascii="宋体" w:hAnsi="宋体"/>
          <w:kern w:val="0"/>
          <w:sz w:val="24"/>
        </w:rPr>
        <w:t>；</w:t>
      </w:r>
    </w:p>
    <w:p w14:paraId="10A37954">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④</w:t>
      </w:r>
      <w:r>
        <w:rPr>
          <w:rFonts w:hint="eastAsia" w:ascii="宋体" w:hAnsi="宋体" w:cs="宋体"/>
          <w:sz w:val="24"/>
        </w:rPr>
        <w:t>磋商</w:t>
      </w:r>
      <w:r>
        <w:rPr>
          <w:rFonts w:hint="eastAsia" w:ascii="宋体" w:hAnsi="宋体"/>
          <w:sz w:val="24"/>
        </w:rPr>
        <w:t>供应商</w:t>
      </w:r>
      <w:r>
        <w:rPr>
          <w:rFonts w:hint="eastAsia" w:hAnsi="宋体"/>
          <w:kern w:val="0"/>
          <w:sz w:val="24"/>
        </w:rPr>
        <w:t>需要说明的其他资料（如有）。</w:t>
      </w:r>
    </w:p>
    <w:p w14:paraId="0AD0F17B">
      <w:pPr>
        <w:autoSpaceDE w:val="0"/>
        <w:autoSpaceDN w:val="0"/>
        <w:adjustRightInd w:val="0"/>
        <w:snapToGrid w:val="0"/>
        <w:spacing w:line="360" w:lineRule="auto"/>
        <w:ind w:firstLine="361" w:firstLineChars="150"/>
        <w:rPr>
          <w:rFonts w:ascii="宋体" w:hAnsi="宋体" w:cs="宋体"/>
          <w:b/>
          <w:sz w:val="24"/>
        </w:rPr>
      </w:pPr>
      <w:r>
        <w:rPr>
          <w:rFonts w:hint="eastAsia" w:ascii="宋体" w:hAnsi="宋体" w:cs="宋体"/>
          <w:b/>
          <w:sz w:val="24"/>
        </w:rPr>
        <w:t>（2）商务与技术部分</w:t>
      </w:r>
    </w:p>
    <w:p w14:paraId="43C8FC51">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①供应商基本情况表（附件7）；</w:t>
      </w:r>
    </w:p>
    <w:p w14:paraId="1E587870">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②技术及商务需求响应表（填制时对应第二章）（见附件8）；</w:t>
      </w:r>
    </w:p>
    <w:p w14:paraId="7595542F">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③技术及服务方案（对应第四章“评审方法、</w:t>
      </w:r>
      <w:r>
        <w:rPr>
          <w:rFonts w:hint="eastAsia" w:ascii="宋体" w:hAnsi="宋体"/>
          <w:bCs/>
          <w:kern w:val="0"/>
          <w:sz w:val="24"/>
        </w:rPr>
        <w:t>评分标准”的相应评分标准编制，格式自拟）；</w:t>
      </w:r>
    </w:p>
    <w:p w14:paraId="0D338060">
      <w:pPr>
        <w:tabs>
          <w:tab w:val="left" w:pos="1898"/>
        </w:tabs>
        <w:autoSpaceDE w:val="0"/>
        <w:autoSpaceDN w:val="0"/>
        <w:adjustRightInd w:val="0"/>
        <w:snapToGrid w:val="0"/>
        <w:spacing w:line="360" w:lineRule="auto"/>
        <w:ind w:firstLine="480"/>
        <w:rPr>
          <w:rFonts w:ascii="宋体" w:hAnsi="宋体"/>
          <w:kern w:val="0"/>
          <w:sz w:val="24"/>
        </w:rPr>
      </w:pPr>
      <w:r>
        <w:rPr>
          <w:rFonts w:hint="eastAsia" w:ascii="宋体" w:hAnsi="宋体"/>
          <w:kern w:val="0"/>
          <w:sz w:val="24"/>
        </w:rPr>
        <w:t>④供应商类似项目实施情况一览表（见附件9）及相关证明材料）</w:t>
      </w:r>
      <w:r>
        <w:rPr>
          <w:rFonts w:hint="eastAsia" w:ascii="宋体" w:hAnsi="宋体" w:cs="宋体"/>
          <w:sz w:val="24"/>
        </w:rPr>
        <w:t>（如有）</w:t>
      </w:r>
      <w:r>
        <w:rPr>
          <w:rFonts w:hint="eastAsia" w:ascii="宋体" w:hAnsi="宋体"/>
          <w:kern w:val="0"/>
          <w:sz w:val="24"/>
        </w:rPr>
        <w:t>；</w:t>
      </w:r>
    </w:p>
    <w:p w14:paraId="26AC3A8C">
      <w:pPr>
        <w:tabs>
          <w:tab w:val="left" w:pos="1898"/>
        </w:tabs>
        <w:autoSpaceDE w:val="0"/>
        <w:autoSpaceDN w:val="0"/>
        <w:adjustRightInd w:val="0"/>
        <w:snapToGrid w:val="0"/>
        <w:spacing w:line="360" w:lineRule="auto"/>
        <w:ind w:firstLine="480"/>
      </w:pPr>
      <w:r>
        <w:rPr>
          <w:rFonts w:hint="eastAsia" w:ascii="宋体" w:hAnsi="宋体"/>
          <w:kern w:val="0"/>
          <w:sz w:val="24"/>
        </w:rPr>
        <w:t>⑤项目实施人员一览表（附件10）及相关证明材料</w:t>
      </w:r>
      <w:r>
        <w:rPr>
          <w:rFonts w:hint="eastAsia" w:ascii="宋体" w:hAnsi="宋体" w:cs="宋体"/>
          <w:sz w:val="24"/>
        </w:rPr>
        <w:t>（如有）</w:t>
      </w:r>
      <w:r>
        <w:rPr>
          <w:rFonts w:hint="eastAsia" w:ascii="宋体" w:hAnsi="宋体"/>
          <w:kern w:val="0"/>
          <w:sz w:val="24"/>
        </w:rPr>
        <w:t>；</w:t>
      </w:r>
    </w:p>
    <w:p w14:paraId="4D9FC075">
      <w:pPr>
        <w:autoSpaceDE w:val="0"/>
        <w:autoSpaceDN w:val="0"/>
        <w:adjustRightInd w:val="0"/>
        <w:snapToGrid w:val="0"/>
        <w:spacing w:line="360" w:lineRule="auto"/>
        <w:ind w:firstLine="480" w:firstLineChars="200"/>
        <w:jc w:val="left"/>
        <w:rPr>
          <w:rFonts w:ascii="宋体" w:hAnsi="宋体"/>
          <w:kern w:val="0"/>
          <w:sz w:val="24"/>
        </w:rPr>
      </w:pPr>
      <w:r>
        <w:rPr>
          <w:rFonts w:hint="eastAsia" w:ascii="MS Gothic" w:hAnsi="MS Gothic" w:cs="MS Gothic" w:eastAsiaTheme="minorEastAsia"/>
          <w:kern w:val="0"/>
          <w:sz w:val="24"/>
        </w:rPr>
        <w:t>⑥</w:t>
      </w:r>
      <w:r>
        <w:rPr>
          <w:rFonts w:ascii="宋体" w:hAnsi="宋体" w:cs="宋体"/>
          <w:kern w:val="0"/>
          <w:sz w:val="24"/>
        </w:rPr>
        <w:t>供应商认为需要的其他文件或说明</w:t>
      </w:r>
      <w:r>
        <w:rPr>
          <w:rFonts w:hint="eastAsia" w:ascii="宋体" w:hAnsi="宋体"/>
          <w:kern w:val="0"/>
          <w:sz w:val="24"/>
        </w:rPr>
        <w:t>（如有</w:t>
      </w:r>
      <w:r>
        <w:rPr>
          <w:rFonts w:hint="eastAsia" w:ascii="宋体" w:hAnsi="宋体"/>
          <w:bCs/>
          <w:kern w:val="0"/>
          <w:sz w:val="24"/>
        </w:rPr>
        <w:t>）。</w:t>
      </w:r>
    </w:p>
    <w:p w14:paraId="1C6A85E1">
      <w:pPr>
        <w:autoSpaceDE w:val="0"/>
        <w:autoSpaceDN w:val="0"/>
        <w:adjustRightInd w:val="0"/>
        <w:snapToGrid w:val="0"/>
        <w:spacing w:line="360" w:lineRule="auto"/>
        <w:ind w:firstLine="361" w:firstLineChars="150"/>
        <w:rPr>
          <w:rFonts w:ascii="宋体" w:hAnsi="宋体" w:cs="宋体"/>
          <w:b/>
          <w:sz w:val="24"/>
        </w:rPr>
      </w:pPr>
      <w:r>
        <w:rPr>
          <w:rFonts w:hint="eastAsia" w:ascii="宋体" w:hAnsi="宋体" w:cs="宋体"/>
          <w:b/>
          <w:sz w:val="24"/>
        </w:rPr>
        <w:t>（二）样品</w:t>
      </w:r>
    </w:p>
    <w:p w14:paraId="2F1E1953">
      <w:pPr>
        <w:adjustRightInd w:val="0"/>
        <w:snapToGrid w:val="0"/>
        <w:spacing w:line="360" w:lineRule="auto"/>
        <w:ind w:firstLine="482" w:firstLineChars="200"/>
        <w:rPr>
          <w:rFonts w:ascii="宋体" w:hAnsi="宋体"/>
          <w:b/>
          <w:sz w:val="24"/>
          <w:szCs w:val="24"/>
        </w:rPr>
      </w:pPr>
      <w:r>
        <w:rPr>
          <w:rFonts w:hint="eastAsia" w:ascii="宋体" w:hAnsi="宋体"/>
          <w:b/>
          <w:sz w:val="24"/>
          <w:szCs w:val="24"/>
        </w:rPr>
        <w:t>1.样品名称及数量：</w:t>
      </w:r>
      <w:r>
        <w:rPr>
          <w:rFonts w:hint="eastAsia" w:ascii="宋体" w:hAnsi="宋体"/>
          <w:sz w:val="24"/>
          <w:szCs w:val="24"/>
        </w:rPr>
        <w:t>相册样品一份；</w:t>
      </w:r>
    </w:p>
    <w:p w14:paraId="4764404A">
      <w:pPr>
        <w:adjustRightInd w:val="0"/>
        <w:snapToGrid w:val="0"/>
        <w:spacing w:line="360" w:lineRule="auto"/>
        <w:ind w:firstLine="482" w:firstLineChars="200"/>
        <w:rPr>
          <w:rFonts w:ascii="MS Gothic" w:hAnsi="MS Gothic" w:cs="MS Gothic"/>
          <w:kern w:val="0"/>
          <w:sz w:val="24"/>
        </w:rPr>
      </w:pPr>
      <w:r>
        <w:rPr>
          <w:rFonts w:hint="eastAsia" w:ascii="宋体" w:hAnsi="宋体"/>
          <w:b/>
          <w:sz w:val="24"/>
          <w:szCs w:val="24"/>
        </w:rPr>
        <w:t>2.样品制作的标准和要求：</w:t>
      </w:r>
      <w:r>
        <w:rPr>
          <w:rFonts w:hint="eastAsia" w:ascii="MS Gothic" w:hAnsi="MS Gothic" w:cs="MS Gothic" w:eastAsiaTheme="minorEastAsia"/>
          <w:kern w:val="0"/>
          <w:sz w:val="24"/>
        </w:rPr>
        <w:t>不限材质（退休、毕业季、荣誉表彰等内容均可）。</w:t>
      </w:r>
    </w:p>
    <w:p w14:paraId="561C07C1">
      <w:pPr>
        <w:autoSpaceDE w:val="0"/>
        <w:autoSpaceDN w:val="0"/>
        <w:adjustRightInd w:val="0"/>
        <w:snapToGrid w:val="0"/>
        <w:spacing w:line="360" w:lineRule="auto"/>
        <w:ind w:firstLine="482" w:firstLineChars="200"/>
        <w:jc w:val="left"/>
        <w:rPr>
          <w:rFonts w:ascii="MS Gothic" w:hAnsi="MS Gothic" w:cs="MS Gothic"/>
          <w:kern w:val="0"/>
          <w:sz w:val="24"/>
        </w:rPr>
      </w:pPr>
      <w:r>
        <w:rPr>
          <w:rFonts w:hint="eastAsia" w:ascii="宋体" w:hAnsi="宋体"/>
          <w:b/>
          <w:sz w:val="24"/>
          <w:szCs w:val="24"/>
        </w:rPr>
        <w:t>3.接收时间、地点：</w:t>
      </w:r>
      <w:r>
        <w:rPr>
          <w:rFonts w:hint="eastAsia" w:ascii="MS Gothic" w:hAnsi="MS Gothic" w:cs="MS Gothic"/>
          <w:kern w:val="0"/>
          <w:sz w:val="24"/>
        </w:rPr>
        <w:t>随</w:t>
      </w:r>
      <w:r>
        <w:rPr>
          <w:rFonts w:hint="eastAsia" w:ascii="MS Gothic" w:hAnsi="MS Gothic" w:cs="MS Gothic" w:eastAsiaTheme="minorEastAsia"/>
          <w:kern w:val="0"/>
          <w:sz w:val="24"/>
        </w:rPr>
        <w:t>磋商响应文件同时递交</w:t>
      </w:r>
      <w:r>
        <w:rPr>
          <w:rFonts w:hint="eastAsia" w:ascii="MS Gothic" w:hAnsi="MS Gothic" w:cs="MS Gothic"/>
          <w:kern w:val="0"/>
          <w:sz w:val="24"/>
        </w:rPr>
        <w:t>，逾期的样品恕不接受。</w:t>
      </w:r>
    </w:p>
    <w:p w14:paraId="0FF91050">
      <w:pPr>
        <w:autoSpaceDE w:val="0"/>
        <w:autoSpaceDN w:val="0"/>
        <w:adjustRightInd w:val="0"/>
        <w:snapToGrid w:val="0"/>
        <w:spacing w:line="360" w:lineRule="auto"/>
        <w:ind w:firstLine="482" w:firstLineChars="200"/>
        <w:jc w:val="left"/>
        <w:rPr>
          <w:rFonts w:ascii="宋体" w:hAnsi="宋体"/>
          <w:b/>
          <w:sz w:val="24"/>
          <w:szCs w:val="24"/>
        </w:rPr>
      </w:pPr>
      <w:r>
        <w:rPr>
          <w:rFonts w:hint="eastAsia" w:ascii="宋体" w:hAnsi="宋体"/>
          <w:b/>
          <w:sz w:val="24"/>
          <w:szCs w:val="24"/>
        </w:rPr>
        <w:t>4.其他要求：</w:t>
      </w:r>
    </w:p>
    <w:p w14:paraId="0F437592">
      <w:pPr>
        <w:autoSpaceDE w:val="0"/>
        <w:autoSpaceDN w:val="0"/>
        <w:adjustRightInd w:val="0"/>
        <w:snapToGrid w:val="0"/>
        <w:spacing w:line="360" w:lineRule="auto"/>
        <w:ind w:firstLine="480" w:firstLineChars="200"/>
        <w:jc w:val="left"/>
        <w:rPr>
          <w:rFonts w:cs="宋体" w:asciiTheme="minorEastAsia" w:hAnsiTheme="minorEastAsia" w:eastAsiaTheme="minorEastAsia"/>
          <w:b/>
          <w:kern w:val="0"/>
          <w:sz w:val="24"/>
        </w:rPr>
      </w:pPr>
      <w:r>
        <w:rPr>
          <w:rFonts w:hint="eastAsia" w:ascii="MS Gothic" w:hAnsi="MS Gothic" w:cs="MS Gothic" w:eastAsiaTheme="minorEastAsia"/>
          <w:kern w:val="0"/>
          <w:sz w:val="24"/>
        </w:rPr>
        <w:t>（1）</w:t>
      </w:r>
      <w:r>
        <w:rPr>
          <w:rFonts w:hint="eastAsia" w:cs="宋体" w:asciiTheme="minorEastAsia" w:hAnsiTheme="minorEastAsia" w:eastAsiaTheme="minorEastAsia"/>
          <w:b/>
          <w:kern w:val="0"/>
          <w:sz w:val="24"/>
        </w:rPr>
        <w:t>本项目样品为暗标，样品应隐去包括供应商名称、地址、商标（品牌）、等一切供应商特有的标识（外包装除外，外包装封面参考附件），否则样品分得0分。</w:t>
      </w:r>
    </w:p>
    <w:p w14:paraId="18C75DCC">
      <w:pPr>
        <w:autoSpaceDE w:val="0"/>
        <w:autoSpaceDN w:val="0"/>
        <w:adjustRightInd w:val="0"/>
        <w:snapToGrid w:val="0"/>
        <w:spacing w:line="360" w:lineRule="auto"/>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样品仅作为评分项，磋商小组按照磋商文件规定的评审办法及标准对样品进行评价。未提供样品或样品非暗标的不得分；样品不符合磋商文件要求的，按评审办法及标准酌情扣分，样品质量不影响其响应文件的有效性。</w:t>
      </w:r>
    </w:p>
    <w:p w14:paraId="572AE31A">
      <w:pPr>
        <w:autoSpaceDE w:val="0"/>
        <w:autoSpaceDN w:val="0"/>
        <w:adjustRightInd w:val="0"/>
        <w:snapToGrid w:val="0"/>
        <w:spacing w:line="360" w:lineRule="auto"/>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（3）样品的生产、运输、安装、保全等一切费用由供应商自理。</w:t>
      </w:r>
    </w:p>
    <w:p w14:paraId="794502AD">
      <w:pPr>
        <w:autoSpaceDE w:val="0"/>
        <w:autoSpaceDN w:val="0"/>
        <w:adjustRightInd w:val="0"/>
        <w:snapToGrid w:val="0"/>
        <w:spacing w:line="360" w:lineRule="auto"/>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w:t>
      </w:r>
      <w:r>
        <w:rPr>
          <w:rFonts w:cs="宋体" w:asciiTheme="minorEastAsia" w:hAnsiTheme="minorEastAsia" w:eastAsiaTheme="minorEastAsia"/>
          <w:kern w:val="0"/>
          <w:sz w:val="24"/>
        </w:rPr>
        <w:t>评审</w:t>
      </w:r>
      <w:r>
        <w:rPr>
          <w:rFonts w:hint="eastAsia" w:cs="宋体" w:asciiTheme="minorEastAsia" w:hAnsiTheme="minorEastAsia" w:eastAsiaTheme="minorEastAsia"/>
          <w:kern w:val="0"/>
          <w:sz w:val="24"/>
        </w:rPr>
        <w:t>结束后，采购人将对成交供应商的样品进行封存，作为验收的依据。成交样品由成交供应商在评审结束后当天运送至采购人指定地点，其他供应商的样品在评审结束后自行领回。如未成交供应商未按规定时间内自行取回的,视为同意其样品由</w:t>
      </w:r>
      <w:r>
        <w:rPr>
          <w:rFonts w:hint="eastAsia" w:cs="宋体" w:asciiTheme="minorEastAsia" w:hAnsiTheme="minorEastAsia" w:eastAsiaTheme="minorEastAsia"/>
          <w:kern w:val="0"/>
          <w:sz w:val="24"/>
          <w:lang w:eastAsia="zh-CN"/>
        </w:rPr>
        <w:t>采购人</w:t>
      </w:r>
      <w:r>
        <w:rPr>
          <w:rFonts w:hint="eastAsia" w:cs="宋体" w:asciiTheme="minorEastAsia" w:hAnsiTheme="minorEastAsia" w:eastAsiaTheme="minorEastAsia"/>
          <w:kern w:val="0"/>
          <w:sz w:val="24"/>
        </w:rPr>
        <w:t>处理。</w:t>
      </w:r>
    </w:p>
    <w:p w14:paraId="7F679B9E">
      <w:pPr>
        <w:autoSpaceDE w:val="0"/>
        <w:autoSpaceDN w:val="0"/>
        <w:adjustRightInd w:val="0"/>
        <w:snapToGrid w:val="0"/>
        <w:spacing w:line="360" w:lineRule="auto"/>
        <w:ind w:firstLine="361" w:firstLineChars="150"/>
        <w:rPr>
          <w:rFonts w:ascii="宋体" w:hAnsi="宋体" w:cs="宋体"/>
          <w:sz w:val="24"/>
          <w:lang w:val="zh-CN"/>
        </w:rPr>
      </w:pPr>
      <w:r>
        <w:rPr>
          <w:rFonts w:hint="eastAsia" w:ascii="宋体" w:hAnsi="宋体"/>
          <w:b/>
          <w:sz w:val="24"/>
          <w:szCs w:val="24"/>
        </w:rPr>
        <w:t>（三）</w:t>
      </w:r>
      <w:r>
        <w:rPr>
          <w:rFonts w:hint="eastAsia" w:ascii="宋体" w:hAnsi="宋体"/>
          <w:b/>
          <w:bCs/>
          <w:kern w:val="0"/>
          <w:sz w:val="24"/>
        </w:rPr>
        <w:t>磋商响应文件的制作、封装及递交要求</w:t>
      </w:r>
    </w:p>
    <w:p w14:paraId="2660AB15">
      <w:pPr>
        <w:autoSpaceDE w:val="0"/>
        <w:autoSpaceDN w:val="0"/>
        <w:adjustRightInd w:val="0"/>
        <w:snapToGrid w:val="0"/>
        <w:spacing w:line="360" w:lineRule="auto"/>
        <w:ind w:firstLine="480"/>
        <w:rPr>
          <w:rFonts w:ascii="宋体" w:hAnsi="宋体"/>
          <w:b/>
          <w:sz w:val="24"/>
        </w:rPr>
      </w:pPr>
      <w:r>
        <w:rPr>
          <w:rFonts w:hint="eastAsia" w:ascii="宋体" w:hAnsi="宋体"/>
          <w:b/>
          <w:sz w:val="24"/>
        </w:rPr>
        <w:t>1.磋商响应文件的制作要求</w:t>
      </w:r>
    </w:p>
    <w:p w14:paraId="0D542EAF">
      <w:pPr>
        <w:autoSpaceDE w:val="0"/>
        <w:autoSpaceDN w:val="0"/>
        <w:adjustRightInd w:val="0"/>
        <w:snapToGrid w:val="0"/>
        <w:spacing w:line="360" w:lineRule="auto"/>
        <w:ind w:firstLine="480"/>
        <w:rPr>
          <w:rFonts w:ascii="宋体" w:hAnsi="宋体"/>
          <w:kern w:val="0"/>
          <w:sz w:val="24"/>
        </w:rPr>
      </w:pPr>
      <w:r>
        <w:rPr>
          <w:rFonts w:hint="eastAsia" w:ascii="宋体" w:hAnsi="宋体"/>
          <w:sz w:val="24"/>
        </w:rPr>
        <w:t>（1）供应商应按照磋商响应文件组成内容及项目磋商需求制作磋商响应文件，</w:t>
      </w:r>
      <w:r>
        <w:rPr>
          <w:rFonts w:hint="eastAsia" w:ascii="宋体" w:hAnsi="宋体"/>
          <w:kern w:val="0"/>
          <w:sz w:val="24"/>
        </w:rPr>
        <w:t>不按</w:t>
      </w:r>
      <w:r>
        <w:rPr>
          <w:rFonts w:hint="eastAsia" w:ascii="宋体" w:hAnsi="宋体"/>
          <w:bCs/>
          <w:sz w:val="24"/>
        </w:rPr>
        <w:t>磋商采购文件</w:t>
      </w:r>
      <w:r>
        <w:rPr>
          <w:rFonts w:hint="eastAsia" w:ascii="宋体" w:hAnsi="宋体"/>
          <w:kern w:val="0"/>
          <w:sz w:val="24"/>
        </w:rPr>
        <w:t>要求制作</w:t>
      </w:r>
      <w:r>
        <w:rPr>
          <w:rFonts w:hint="eastAsia" w:ascii="宋体" w:hAnsi="宋体"/>
          <w:sz w:val="24"/>
        </w:rPr>
        <w:t>磋商响应文件</w:t>
      </w:r>
      <w:r>
        <w:rPr>
          <w:rFonts w:hint="eastAsia" w:ascii="宋体" w:hAnsi="宋体"/>
          <w:kern w:val="0"/>
          <w:sz w:val="24"/>
        </w:rPr>
        <w:t>的将视情处理（拒收、扣分等），由此产生的责任由</w:t>
      </w:r>
      <w:r>
        <w:rPr>
          <w:rFonts w:hint="eastAsia" w:ascii="宋体" w:hAnsi="宋体"/>
          <w:sz w:val="24"/>
        </w:rPr>
        <w:t>磋商供应商</w:t>
      </w:r>
      <w:r>
        <w:rPr>
          <w:rFonts w:hint="eastAsia" w:ascii="宋体" w:hAnsi="宋体"/>
          <w:kern w:val="0"/>
          <w:sz w:val="24"/>
        </w:rPr>
        <w:t>自行承担。</w:t>
      </w:r>
    </w:p>
    <w:p w14:paraId="01236E41">
      <w:pPr>
        <w:autoSpaceDE w:val="0"/>
        <w:autoSpaceDN w:val="0"/>
        <w:adjustRightInd w:val="0"/>
        <w:snapToGrid w:val="0"/>
        <w:spacing w:line="360" w:lineRule="auto"/>
        <w:ind w:firstLine="480" w:firstLineChars="200"/>
        <w:rPr>
          <w:rFonts w:ascii="宋体" w:hAnsi="宋体"/>
          <w:kern w:val="0"/>
          <w:sz w:val="24"/>
          <w:lang w:val="zh-CN"/>
        </w:rPr>
      </w:pPr>
      <w:r>
        <w:rPr>
          <w:rFonts w:hint="eastAsia" w:ascii="宋体" w:hAnsi="宋体"/>
          <w:sz w:val="24"/>
        </w:rPr>
        <w:t>（2）供应商应对所提供的全部资料的真实性承担法律责任，磋商响应文件</w:t>
      </w:r>
      <w:r>
        <w:rPr>
          <w:rFonts w:hint="eastAsia" w:ascii="宋体" w:hAnsi="宋体"/>
          <w:kern w:val="0"/>
          <w:sz w:val="24"/>
          <w:lang w:val="zh-CN"/>
        </w:rPr>
        <w:t>内容中有要求盖章或签字的地方，必须加盖</w:t>
      </w:r>
      <w:r>
        <w:rPr>
          <w:rFonts w:hint="eastAsia" w:ascii="宋体" w:hAnsi="宋体"/>
          <w:sz w:val="24"/>
        </w:rPr>
        <w:t>磋商供应商</w:t>
      </w:r>
      <w:r>
        <w:rPr>
          <w:rFonts w:hint="eastAsia" w:ascii="宋体" w:hAnsi="宋体"/>
          <w:kern w:val="0"/>
          <w:sz w:val="24"/>
          <w:lang w:val="zh-CN"/>
        </w:rPr>
        <w:t>的公章以及法定代表人或全权代表的盖章或签字，其中</w:t>
      </w:r>
      <w:r>
        <w:rPr>
          <w:rFonts w:hint="eastAsia" w:ascii="宋体" w:hAnsi="宋体"/>
          <w:sz w:val="24"/>
        </w:rPr>
        <w:t>所有证书类文件提供的复印件</w:t>
      </w:r>
      <w:r>
        <w:rPr>
          <w:rFonts w:hint="eastAsia" w:ascii="宋体" w:hAnsi="宋体"/>
          <w:kern w:val="0"/>
          <w:sz w:val="24"/>
        </w:rPr>
        <w:t>必须全部加盖单位公章且</w:t>
      </w:r>
      <w:r>
        <w:rPr>
          <w:rFonts w:hint="eastAsia" w:ascii="宋体" w:hAnsi="宋体"/>
          <w:sz w:val="24"/>
        </w:rPr>
        <w:t>必须在有效期内的。</w:t>
      </w:r>
    </w:p>
    <w:p w14:paraId="5A534283">
      <w:pPr>
        <w:adjustRightInd w:val="0"/>
        <w:snapToGrid w:val="0"/>
        <w:spacing w:line="360" w:lineRule="auto"/>
        <w:ind w:firstLine="480" w:firstLineChars="200"/>
        <w:jc w:val="left"/>
        <w:rPr>
          <w:rFonts w:ascii="宋体" w:hAnsi="宋体"/>
          <w:sz w:val="24"/>
        </w:rPr>
      </w:pPr>
      <w:r>
        <w:rPr>
          <w:rFonts w:hint="eastAsia" w:ascii="宋体" w:hAnsi="宋体"/>
          <w:kern w:val="0"/>
          <w:sz w:val="24"/>
          <w:lang w:val="zh-CN"/>
        </w:rPr>
        <w:t>（</w:t>
      </w:r>
      <w:r>
        <w:rPr>
          <w:rFonts w:hint="eastAsia" w:ascii="宋体" w:hAnsi="宋体"/>
          <w:kern w:val="0"/>
          <w:sz w:val="24"/>
        </w:rPr>
        <w:t>3</w:t>
      </w:r>
      <w:r>
        <w:rPr>
          <w:rFonts w:hint="eastAsia" w:ascii="宋体" w:hAnsi="宋体"/>
          <w:kern w:val="0"/>
          <w:sz w:val="24"/>
          <w:lang w:val="zh-CN"/>
        </w:rPr>
        <w:t>）</w:t>
      </w:r>
      <w:r>
        <w:rPr>
          <w:rFonts w:hint="eastAsia" w:ascii="宋体" w:hAnsi="宋体"/>
          <w:sz w:val="24"/>
        </w:rPr>
        <w:t>磋商响应文件</w:t>
      </w:r>
      <w:r>
        <w:rPr>
          <w:rFonts w:ascii="宋体" w:hAnsi="宋体"/>
          <w:sz w:val="24"/>
        </w:rPr>
        <w:t>以及</w:t>
      </w:r>
      <w:r>
        <w:rPr>
          <w:rFonts w:hint="eastAsia" w:ascii="宋体" w:hAnsi="宋体"/>
          <w:sz w:val="24"/>
        </w:rPr>
        <w:t>磋商供应商</w:t>
      </w:r>
      <w:r>
        <w:rPr>
          <w:rFonts w:ascii="宋体" w:hAnsi="宋体"/>
          <w:sz w:val="24"/>
        </w:rPr>
        <w:t>与</w:t>
      </w:r>
      <w:r>
        <w:rPr>
          <w:rFonts w:hint="eastAsia" w:ascii="宋体" w:hAnsi="宋体"/>
          <w:sz w:val="24"/>
          <w:lang w:eastAsia="zh-CN"/>
        </w:rPr>
        <w:t>采购人</w:t>
      </w:r>
      <w:r>
        <w:rPr>
          <w:rFonts w:ascii="宋体" w:hAnsi="宋体"/>
          <w:sz w:val="24"/>
        </w:rPr>
        <w:t>就有关磋商事宜的所有来往函电，均应以中文汉语书写。除</w:t>
      </w:r>
      <w:r>
        <w:rPr>
          <w:rFonts w:hint="eastAsia" w:ascii="宋体" w:hAnsi="宋体"/>
          <w:sz w:val="24"/>
        </w:rPr>
        <w:t>签字</w:t>
      </w:r>
      <w:r>
        <w:rPr>
          <w:rFonts w:ascii="宋体" w:hAnsi="宋体"/>
          <w:sz w:val="24"/>
        </w:rPr>
        <w:t>、盖章、专用名称等特殊情形外，以中文汉语以外的文字表述的</w:t>
      </w:r>
      <w:r>
        <w:rPr>
          <w:rFonts w:hint="eastAsia" w:ascii="宋体" w:hAnsi="宋体"/>
          <w:sz w:val="24"/>
        </w:rPr>
        <w:t>磋商响应文件</w:t>
      </w:r>
      <w:r>
        <w:rPr>
          <w:rFonts w:ascii="宋体" w:hAnsi="宋体"/>
          <w:sz w:val="24"/>
        </w:rPr>
        <w:t>视同未提供。</w:t>
      </w:r>
    </w:p>
    <w:p w14:paraId="1752FAAC">
      <w:pPr>
        <w:adjustRightInd w:val="0"/>
        <w:snapToGrid w:val="0"/>
        <w:spacing w:line="360" w:lineRule="auto"/>
        <w:ind w:firstLine="480" w:firstLineChars="200"/>
        <w:jc w:val="left"/>
        <w:rPr>
          <w:rFonts w:ascii="宋体" w:hAnsi="宋体"/>
          <w:sz w:val="24"/>
        </w:rPr>
      </w:pPr>
      <w:r>
        <w:rPr>
          <w:rFonts w:hint="eastAsia" w:ascii="宋体" w:hAnsi="宋体"/>
          <w:sz w:val="24"/>
        </w:rPr>
        <w:t>（4）</w:t>
      </w:r>
      <w:r>
        <w:rPr>
          <w:rFonts w:ascii="宋体" w:hAnsi="宋体"/>
          <w:sz w:val="24"/>
        </w:rPr>
        <w:t>磋商计量单位，</w:t>
      </w:r>
      <w:r>
        <w:rPr>
          <w:rFonts w:hint="eastAsia" w:ascii="宋体" w:hAnsi="宋体"/>
          <w:bCs/>
          <w:sz w:val="24"/>
        </w:rPr>
        <w:t>磋商采购文件</w:t>
      </w:r>
      <w:r>
        <w:rPr>
          <w:rFonts w:ascii="宋体" w:hAnsi="宋体"/>
          <w:sz w:val="24"/>
        </w:rPr>
        <w:t>已有明确规定的，使用</w:t>
      </w:r>
      <w:r>
        <w:rPr>
          <w:rFonts w:hint="eastAsia" w:ascii="宋体" w:hAnsi="宋体"/>
          <w:bCs/>
          <w:sz w:val="24"/>
        </w:rPr>
        <w:t>磋商采购文件</w:t>
      </w:r>
      <w:r>
        <w:rPr>
          <w:rFonts w:ascii="宋体" w:hAnsi="宋体"/>
          <w:sz w:val="24"/>
        </w:rPr>
        <w:t>规定的计量单位；</w:t>
      </w:r>
      <w:r>
        <w:rPr>
          <w:rFonts w:hint="eastAsia" w:ascii="宋体" w:hAnsi="宋体"/>
          <w:bCs/>
          <w:sz w:val="24"/>
        </w:rPr>
        <w:t>磋商采购文件</w:t>
      </w:r>
      <w:r>
        <w:rPr>
          <w:rFonts w:ascii="宋体" w:hAnsi="宋体"/>
          <w:sz w:val="24"/>
        </w:rPr>
        <w:t>没有规定的，应采用中华人民共和国法定计量单位（货币单位：人民币元），否则视同未响应。</w:t>
      </w:r>
    </w:p>
    <w:p w14:paraId="4F05A829">
      <w:pPr>
        <w:autoSpaceDE w:val="0"/>
        <w:autoSpaceDN w:val="0"/>
        <w:adjustRightInd w:val="0"/>
        <w:snapToGrid w:val="0"/>
        <w:spacing w:line="360" w:lineRule="auto"/>
        <w:ind w:firstLine="480"/>
        <w:rPr>
          <w:rFonts w:ascii="宋体" w:hAnsi="宋体"/>
          <w:sz w:val="24"/>
        </w:rPr>
      </w:pPr>
      <w:r>
        <w:rPr>
          <w:rFonts w:hint="eastAsia" w:ascii="宋体" w:hAnsi="宋体"/>
          <w:sz w:val="24"/>
        </w:rPr>
        <w:t>（5）</w:t>
      </w:r>
      <w:r>
        <w:rPr>
          <w:rFonts w:ascii="宋体" w:hAnsi="宋体"/>
          <w:sz w:val="24"/>
        </w:rPr>
        <w:t>若</w:t>
      </w:r>
      <w:r>
        <w:rPr>
          <w:rFonts w:hint="eastAsia" w:ascii="宋体" w:hAnsi="宋体"/>
          <w:sz w:val="24"/>
        </w:rPr>
        <w:t>磋商供应商</w:t>
      </w:r>
      <w:r>
        <w:rPr>
          <w:rFonts w:ascii="宋体" w:hAnsi="宋体"/>
          <w:sz w:val="24"/>
        </w:rPr>
        <w:t>不按采购文件的要求提供资格审查材料，其风险由</w:t>
      </w:r>
      <w:r>
        <w:rPr>
          <w:rFonts w:hint="eastAsia" w:ascii="宋体" w:hAnsi="宋体"/>
          <w:sz w:val="24"/>
        </w:rPr>
        <w:t>磋商供应商</w:t>
      </w:r>
      <w:r>
        <w:rPr>
          <w:rFonts w:ascii="宋体" w:hAnsi="宋体"/>
          <w:sz w:val="24"/>
        </w:rPr>
        <w:t>自行承担。</w:t>
      </w:r>
    </w:p>
    <w:p w14:paraId="777DA0CD">
      <w:pPr>
        <w:autoSpaceDE w:val="0"/>
        <w:autoSpaceDN w:val="0"/>
        <w:adjustRightInd w:val="0"/>
        <w:snapToGrid w:val="0"/>
        <w:spacing w:line="360" w:lineRule="auto"/>
        <w:ind w:firstLine="480"/>
        <w:rPr>
          <w:rFonts w:ascii="宋体" w:hAnsi="宋体"/>
          <w:sz w:val="24"/>
        </w:rPr>
      </w:pPr>
      <w:r>
        <w:rPr>
          <w:rFonts w:hint="eastAsia" w:ascii="宋体" w:hAnsi="宋体"/>
          <w:kern w:val="0"/>
          <w:sz w:val="24"/>
        </w:rPr>
        <w:t>（6）</w:t>
      </w:r>
      <w:r>
        <w:rPr>
          <w:rFonts w:hint="eastAsia" w:ascii="宋体" w:hAnsi="宋体"/>
          <w:sz w:val="24"/>
        </w:rPr>
        <w:t>与本次磋商无关的内容请不要制作在内，确保磋商响应文件有针对性、简洁明了，同时节约纸张；磋商响应文件统一以A4纸大小双面打印并装订。</w:t>
      </w:r>
    </w:p>
    <w:p w14:paraId="625CF1C9">
      <w:pPr>
        <w:autoSpaceDE w:val="0"/>
        <w:autoSpaceDN w:val="0"/>
        <w:adjustRightInd w:val="0"/>
        <w:snapToGrid w:val="0"/>
        <w:spacing w:line="360" w:lineRule="auto"/>
        <w:ind w:firstLine="480"/>
        <w:rPr>
          <w:rFonts w:ascii="宋体" w:hAnsi="宋体"/>
          <w:b/>
          <w:bCs/>
          <w:sz w:val="24"/>
        </w:rPr>
      </w:pPr>
      <w:r>
        <w:rPr>
          <w:rFonts w:hint="eastAsia" w:ascii="宋体" w:hAnsi="宋体"/>
          <w:b/>
          <w:bCs/>
          <w:sz w:val="24"/>
        </w:rPr>
        <w:t>2.磋商响应文件的封装要求</w:t>
      </w:r>
    </w:p>
    <w:p w14:paraId="00A230B4">
      <w:pPr>
        <w:autoSpaceDE w:val="0"/>
        <w:autoSpaceDN w:val="0"/>
        <w:adjustRightInd w:val="0"/>
        <w:snapToGrid w:val="0"/>
        <w:spacing w:line="360" w:lineRule="auto"/>
        <w:ind w:firstLine="475" w:firstLineChars="198"/>
        <w:rPr>
          <w:rFonts w:ascii="宋体" w:hAnsi="宋体"/>
          <w:sz w:val="24"/>
        </w:rPr>
      </w:pPr>
      <w:r>
        <w:rPr>
          <w:rFonts w:hint="eastAsia" w:ascii="宋体" w:hAnsi="宋体"/>
          <w:sz w:val="24"/>
        </w:rPr>
        <w:t>（1）磋商响应文件份数：</w:t>
      </w:r>
      <w:r>
        <w:rPr>
          <w:rFonts w:hint="eastAsia" w:ascii="宋体"/>
          <w:bCs/>
          <w:sz w:val="24"/>
          <w:highlight w:val="yellow"/>
          <w:lang w:val="zh-CN"/>
        </w:rPr>
        <w:t>需正本一份、副本四份，</w:t>
      </w:r>
      <w:r>
        <w:rPr>
          <w:rFonts w:hint="eastAsia" w:ascii="宋体"/>
          <w:bCs/>
          <w:sz w:val="24"/>
          <w:lang w:val="zh-CN"/>
        </w:rPr>
        <w:t>正、副本统一密封于一袋，证书、证明材料等原件（如有）单独密封于一袋。响应文件的封面应注明“正本”或“副本”字样，副本可以采用正本的复印件。</w:t>
      </w:r>
      <w:r>
        <w:rPr>
          <w:rFonts w:hint="eastAsia" w:ascii="宋体" w:hAnsi="宋体"/>
          <w:sz w:val="24"/>
        </w:rPr>
        <w:t>如有不同标段，请按标段号分别装订，密封要求同上。</w:t>
      </w:r>
    </w:p>
    <w:p w14:paraId="0DD952B2">
      <w:pPr>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（2）所有磋商响应资料按磋商采购文件的组成所列内容及顺序装订成册，</w:t>
      </w:r>
      <w:r>
        <w:rPr>
          <w:rFonts w:hint="eastAsia" w:ascii="宋体" w:hAnsi="宋体"/>
          <w:sz w:val="24"/>
          <w:lang w:val="zh-CN"/>
        </w:rPr>
        <w:t>并逐页连续标注页码。因磋商响应文件内容不完整、编排混乱导致磋商响应文件被误读、漏读或者查找不到相关内容的责任由供应商自行承担。</w:t>
      </w:r>
    </w:p>
    <w:p w14:paraId="57AE3FC4">
      <w:pPr>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（3）请在密封袋的封口处应有磋商供应商公章或磋商全权代表签字。封皮上写明项目编号、标段（如有）、磋商采购项目名称、供应商名称，并注明“磋商响应文件”</w:t>
      </w:r>
      <w:r>
        <w:rPr>
          <w:rFonts w:hint="eastAsia" w:ascii="宋体" w:hAnsi="宋体"/>
          <w:sz w:val="24"/>
        </w:rPr>
        <w:t>或“原件资料”</w:t>
      </w:r>
      <w:r>
        <w:rPr>
          <w:rFonts w:hint="eastAsia" w:ascii="宋体" w:hAnsi="宋体"/>
          <w:kern w:val="0"/>
          <w:sz w:val="24"/>
        </w:rPr>
        <w:t>、“磋商时启封”字样（格式参考），未按上述要求密封及加写标记，</w:t>
      </w:r>
      <w:r>
        <w:rPr>
          <w:rFonts w:hint="eastAsia" w:ascii="宋体" w:hAnsi="宋体"/>
          <w:kern w:val="0"/>
          <w:sz w:val="24"/>
          <w:lang w:eastAsia="zh-CN"/>
        </w:rPr>
        <w:t>采购人</w:t>
      </w:r>
      <w:r>
        <w:rPr>
          <w:rFonts w:hint="eastAsia" w:ascii="宋体" w:hAnsi="宋体"/>
          <w:kern w:val="0"/>
          <w:sz w:val="24"/>
        </w:rPr>
        <w:t>对磋商响应文件的误投和提前启封不负责任。</w:t>
      </w:r>
    </w:p>
    <w:p w14:paraId="6EBF6E23">
      <w:pPr>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（4）项目如分标段，各标段磋商响应文件必须分开编制，并按上述份数要求单独密封包装。</w:t>
      </w:r>
    </w:p>
    <w:p w14:paraId="47A83703">
      <w:pPr>
        <w:autoSpaceDE w:val="0"/>
        <w:autoSpaceDN w:val="0"/>
        <w:adjustRightInd w:val="0"/>
        <w:snapToGrid w:val="0"/>
        <w:spacing w:line="360" w:lineRule="auto"/>
        <w:ind w:firstLine="480" w:firstLineChars="200"/>
        <w:rPr>
          <w:rFonts w:ascii="宋体" w:hAnsi="宋体"/>
          <w:kern w:val="0"/>
          <w:sz w:val="24"/>
          <w:lang w:val="zh-CN"/>
        </w:rPr>
      </w:pPr>
      <w:r>
        <w:rPr>
          <w:rFonts w:hint="eastAsia" w:ascii="宋体" w:hAnsi="宋体"/>
          <w:kern w:val="0"/>
          <w:sz w:val="24"/>
        </w:rPr>
        <w:t>（5）</w:t>
      </w:r>
      <w:r>
        <w:rPr>
          <w:rFonts w:hint="eastAsia" w:ascii="宋体" w:hAnsi="宋体"/>
          <w:kern w:val="0"/>
          <w:sz w:val="24"/>
          <w:lang w:val="zh-CN"/>
        </w:rPr>
        <w:t>因密封不严、标记不明而造成失密、拒收、过早启封等情况，采购人概不负责。</w:t>
      </w:r>
    </w:p>
    <w:p w14:paraId="364B10C9">
      <w:pPr>
        <w:autoSpaceDE w:val="0"/>
        <w:autoSpaceDN w:val="0"/>
        <w:adjustRightInd w:val="0"/>
        <w:snapToGrid w:val="0"/>
        <w:spacing w:line="360" w:lineRule="auto"/>
        <w:ind w:firstLine="480" w:firstLineChars="200"/>
        <w:rPr>
          <w:rFonts w:ascii="宋体" w:hAnsi="宋体"/>
          <w:kern w:val="0"/>
          <w:sz w:val="24"/>
          <w:lang w:val="zh-CN"/>
        </w:rPr>
      </w:pPr>
      <w:r>
        <w:rPr>
          <w:rFonts w:hint="eastAsia" w:ascii="宋体" w:hAnsi="宋体"/>
          <w:kern w:val="0"/>
          <w:sz w:val="24"/>
          <w:lang w:val="zh-CN"/>
        </w:rPr>
        <w:t>（6）</w:t>
      </w:r>
      <w:r>
        <w:rPr>
          <w:rFonts w:ascii="宋体" w:hAnsi="宋体"/>
          <w:sz w:val="24"/>
        </w:rPr>
        <w:t>不论供应商成交与否，响应文件均不退回。</w:t>
      </w:r>
    </w:p>
    <w:p w14:paraId="71B8475F">
      <w:pPr>
        <w:autoSpaceDE w:val="0"/>
        <w:autoSpaceDN w:val="0"/>
        <w:adjustRightInd w:val="0"/>
        <w:snapToGrid w:val="0"/>
        <w:spacing w:line="360" w:lineRule="auto"/>
        <w:ind w:firstLine="480"/>
        <w:rPr>
          <w:rFonts w:ascii="宋体" w:hAnsi="宋体"/>
          <w:b/>
          <w:sz w:val="24"/>
        </w:rPr>
      </w:pPr>
      <w:r>
        <w:rPr>
          <w:rFonts w:hint="eastAsia" w:ascii="宋体" w:hAnsi="宋体"/>
          <w:b/>
          <w:kern w:val="0"/>
          <w:sz w:val="24"/>
        </w:rPr>
        <w:t>3.</w:t>
      </w:r>
      <w:r>
        <w:rPr>
          <w:rFonts w:hint="eastAsia" w:ascii="宋体" w:hAnsi="宋体"/>
          <w:b/>
          <w:sz w:val="24"/>
        </w:rPr>
        <w:t>磋商响应文件的递交要求</w:t>
      </w:r>
    </w:p>
    <w:p w14:paraId="04D4A876">
      <w:pPr>
        <w:tabs>
          <w:tab w:val="left" w:pos="1418"/>
        </w:tabs>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（1）磋商响应文件必须在规定时间前派人送达指定的磋商地点。磋商响应文件在截止时间后提交，</w:t>
      </w:r>
      <w:r>
        <w:rPr>
          <w:rFonts w:hint="eastAsia" w:ascii="宋体" w:hAnsi="宋体"/>
          <w:kern w:val="0"/>
          <w:sz w:val="24"/>
          <w:lang w:eastAsia="zh-CN"/>
        </w:rPr>
        <w:t>采购人</w:t>
      </w:r>
      <w:r>
        <w:rPr>
          <w:rFonts w:hint="eastAsia" w:ascii="宋体" w:hAnsi="宋体"/>
          <w:kern w:val="0"/>
          <w:sz w:val="24"/>
        </w:rPr>
        <w:t>将将拒绝接收。</w:t>
      </w:r>
    </w:p>
    <w:p w14:paraId="78C97921">
      <w:pPr>
        <w:tabs>
          <w:tab w:val="left" w:pos="1418"/>
        </w:tabs>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（2）如有特殊情况，</w:t>
      </w:r>
      <w:r>
        <w:rPr>
          <w:rFonts w:hint="eastAsia" w:ascii="宋体" w:hAnsi="宋体"/>
          <w:kern w:val="0"/>
          <w:sz w:val="24"/>
          <w:lang w:eastAsia="zh-CN"/>
        </w:rPr>
        <w:t>采购人</w:t>
      </w:r>
      <w:r>
        <w:rPr>
          <w:rFonts w:hint="eastAsia" w:ascii="宋体" w:hAnsi="宋体"/>
          <w:kern w:val="0"/>
          <w:sz w:val="24"/>
        </w:rPr>
        <w:t>延长截止时间和磋商时间，</w:t>
      </w:r>
      <w:r>
        <w:rPr>
          <w:rFonts w:hint="eastAsia" w:ascii="宋体" w:hAnsi="宋体"/>
          <w:kern w:val="0"/>
          <w:sz w:val="24"/>
          <w:lang w:eastAsia="zh-CN"/>
        </w:rPr>
        <w:t>采购人</w:t>
      </w:r>
      <w:r>
        <w:rPr>
          <w:rFonts w:hint="eastAsia" w:ascii="宋体" w:hAnsi="宋体"/>
          <w:kern w:val="0"/>
          <w:sz w:val="24"/>
        </w:rPr>
        <w:t>和供应商的权利和义务将受到新的截止时间和磋商时间的约束。</w:t>
      </w:r>
    </w:p>
    <w:p w14:paraId="10EA4127">
      <w:pPr>
        <w:tabs>
          <w:tab w:val="left" w:pos="1898"/>
        </w:tabs>
        <w:autoSpaceDE w:val="0"/>
        <w:autoSpaceDN w:val="0"/>
        <w:adjustRightInd w:val="0"/>
        <w:snapToGrid w:val="0"/>
        <w:spacing w:line="360" w:lineRule="auto"/>
        <w:ind w:firstLine="482" w:firstLineChars="200"/>
        <w:rPr>
          <w:rFonts w:ascii="宋体" w:hAnsi="宋体"/>
          <w:b/>
          <w:kern w:val="0"/>
          <w:sz w:val="24"/>
        </w:rPr>
      </w:pPr>
      <w:r>
        <w:rPr>
          <w:rFonts w:hint="eastAsia" w:ascii="宋体" w:hAnsi="宋体"/>
          <w:b/>
          <w:kern w:val="0"/>
          <w:sz w:val="24"/>
        </w:rPr>
        <w:t>4.磋商响应文件的补充、修改和撤回。</w:t>
      </w:r>
    </w:p>
    <w:p w14:paraId="2FA380EC">
      <w:pPr>
        <w:tabs>
          <w:tab w:val="left" w:pos="960"/>
          <w:tab w:val="left" w:pos="1418"/>
        </w:tabs>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（1）供应商如需对上交的磋商响应文件进行补充、修改或撤回的，必须在磋商响应截止时间</w:t>
      </w:r>
      <w:r>
        <w:rPr>
          <w:rFonts w:hint="eastAsia" w:ascii="宋体"/>
          <w:kern w:val="0"/>
          <w:sz w:val="24"/>
        </w:rPr>
        <w:t>以前将书面的修改文件或撤消通知送达</w:t>
      </w:r>
      <w:r>
        <w:rPr>
          <w:rFonts w:hint="eastAsia" w:ascii="宋体" w:hAnsi="宋体"/>
          <w:kern w:val="0"/>
          <w:sz w:val="24"/>
          <w:lang w:eastAsia="zh-CN"/>
        </w:rPr>
        <w:t>采购人</w:t>
      </w:r>
      <w:r>
        <w:rPr>
          <w:rFonts w:hint="eastAsia" w:ascii="宋体"/>
          <w:kern w:val="0"/>
          <w:sz w:val="24"/>
        </w:rPr>
        <w:t>。</w:t>
      </w:r>
    </w:p>
    <w:p w14:paraId="6723BA48">
      <w:pPr>
        <w:numPr>
          <w:ilvl w:val="0"/>
          <w:numId w:val="4"/>
        </w:numPr>
        <w:tabs>
          <w:tab w:val="left" w:pos="1418"/>
        </w:tabs>
        <w:autoSpaceDE w:val="0"/>
        <w:autoSpaceDN w:val="0"/>
        <w:adjustRightInd w:val="0"/>
        <w:snapToGrid w:val="0"/>
        <w:spacing w:line="360" w:lineRule="auto"/>
        <w:ind w:firstLine="480" w:firstLineChars="200"/>
        <w:rPr>
          <w:rFonts w:ascii="宋体" w:hAnsi="宋体"/>
          <w:kern w:val="0"/>
          <w:sz w:val="24"/>
        </w:rPr>
      </w:pPr>
      <w:r>
        <w:rPr>
          <w:rFonts w:hint="eastAsia" w:ascii="宋体" w:hAnsi="宋体"/>
          <w:kern w:val="0"/>
          <w:sz w:val="24"/>
        </w:rPr>
        <w:t>磋商响应修改文件必须密封，在密封袋上写明项目编号、标段、磋商采购项目名称、供应商名称、并注明“修改文件”、“磋商时启封”字样，其作为磋商响应文件的组成部分。</w:t>
      </w:r>
    </w:p>
    <w:p w14:paraId="176B328F">
      <w:pPr>
        <w:tabs>
          <w:tab w:val="left" w:pos="1418"/>
        </w:tabs>
        <w:autoSpaceDE w:val="0"/>
        <w:autoSpaceDN w:val="0"/>
        <w:adjustRightInd w:val="0"/>
        <w:snapToGrid w:val="0"/>
        <w:spacing w:line="360" w:lineRule="auto"/>
        <w:ind w:left="480"/>
        <w:rPr>
          <w:rFonts w:ascii="宋体" w:hAnsi="宋体"/>
          <w:kern w:val="0"/>
          <w:sz w:val="24"/>
        </w:rPr>
      </w:pPr>
      <w:r>
        <w:rPr>
          <w:rFonts w:hint="eastAsia" w:ascii="宋体" w:hAnsi="宋体"/>
          <w:b/>
          <w:kern w:val="0"/>
          <w:sz w:val="24"/>
        </w:rPr>
        <w:t>（四）磋商响应文件的有效期</w:t>
      </w:r>
    </w:p>
    <w:p w14:paraId="218BCBF6">
      <w:pPr>
        <w:tabs>
          <w:tab w:val="left" w:pos="960"/>
          <w:tab w:val="left" w:pos="1418"/>
        </w:tabs>
        <w:autoSpaceDE w:val="0"/>
        <w:autoSpaceDN w:val="0"/>
        <w:adjustRightInd w:val="0"/>
        <w:snapToGrid w:val="0"/>
        <w:spacing w:line="360" w:lineRule="auto"/>
        <w:ind w:firstLine="480" w:firstLineChars="200"/>
        <w:rPr>
          <w:rFonts w:ascii="宋体" w:hAnsi="宋体"/>
          <w:kern w:val="0"/>
          <w:sz w:val="24"/>
        </w:rPr>
      </w:pPr>
      <w:r>
        <w:rPr>
          <w:rFonts w:ascii="宋体" w:hAnsi="宋体"/>
          <w:kern w:val="0"/>
          <w:sz w:val="24"/>
        </w:rPr>
        <w:t>1</w:t>
      </w:r>
      <w:r>
        <w:rPr>
          <w:rFonts w:hint="eastAsia" w:ascii="宋体" w:hAnsi="宋体"/>
          <w:kern w:val="0"/>
          <w:sz w:val="24"/>
        </w:rPr>
        <w:t>.</w:t>
      </w:r>
      <w:r>
        <w:rPr>
          <w:rFonts w:ascii="宋体" w:hAnsi="宋体"/>
          <w:kern w:val="0"/>
          <w:sz w:val="24"/>
        </w:rPr>
        <w:t>自磋商响应截止日起</w:t>
      </w:r>
      <w:r>
        <w:rPr>
          <w:rFonts w:hint="eastAsia" w:ascii="宋体" w:hAnsi="宋体"/>
          <w:kern w:val="0"/>
          <w:sz w:val="24"/>
        </w:rPr>
        <w:t>60天磋商响应文件应保持有效。有效期不足的磋商响应文件将被拒绝。</w:t>
      </w:r>
    </w:p>
    <w:p w14:paraId="7EA91544">
      <w:pPr>
        <w:tabs>
          <w:tab w:val="left" w:pos="960"/>
          <w:tab w:val="left" w:pos="1418"/>
        </w:tabs>
        <w:autoSpaceDE w:val="0"/>
        <w:autoSpaceDN w:val="0"/>
        <w:adjustRightInd w:val="0"/>
        <w:snapToGrid w:val="0"/>
        <w:spacing w:line="360" w:lineRule="auto"/>
        <w:ind w:firstLine="480" w:firstLineChars="200"/>
        <w:rPr>
          <w:rFonts w:ascii="宋体" w:hAnsi="宋体"/>
          <w:kern w:val="0"/>
          <w:sz w:val="24"/>
        </w:rPr>
      </w:pPr>
      <w:r>
        <w:rPr>
          <w:rFonts w:ascii="宋体" w:hAnsi="宋体"/>
          <w:kern w:val="0"/>
          <w:sz w:val="24"/>
        </w:rPr>
        <w:t>2</w:t>
      </w:r>
      <w:r>
        <w:rPr>
          <w:rFonts w:hint="eastAsia" w:ascii="宋体" w:hAnsi="宋体"/>
          <w:kern w:val="0"/>
          <w:sz w:val="24"/>
        </w:rPr>
        <w:t>.</w:t>
      </w:r>
      <w:r>
        <w:rPr>
          <w:rFonts w:ascii="宋体" w:hAnsi="宋体"/>
          <w:kern w:val="0"/>
          <w:sz w:val="24"/>
        </w:rPr>
        <w:t>在特殊情况下，采购人可与磋商供应商协商延长磋商响应文件的有效期，这种要求和答复均以书面形式进行。</w:t>
      </w:r>
    </w:p>
    <w:p w14:paraId="3841F3D2">
      <w:pPr>
        <w:tabs>
          <w:tab w:val="left" w:pos="960"/>
          <w:tab w:val="left" w:pos="1418"/>
        </w:tabs>
        <w:autoSpaceDE w:val="0"/>
        <w:autoSpaceDN w:val="0"/>
        <w:adjustRightInd w:val="0"/>
        <w:snapToGrid w:val="0"/>
        <w:spacing w:line="360" w:lineRule="auto"/>
        <w:ind w:firstLine="480" w:firstLineChars="200"/>
        <w:rPr>
          <w:rFonts w:ascii="宋体" w:hAnsi="宋体"/>
          <w:kern w:val="0"/>
          <w:sz w:val="24"/>
        </w:rPr>
      </w:pPr>
      <w:bookmarkStart w:id="35" w:name="_Toc14431"/>
      <w:r>
        <w:rPr>
          <w:rFonts w:hint="eastAsia" w:ascii="宋体" w:hAnsi="宋体"/>
          <w:kern w:val="0"/>
          <w:sz w:val="24"/>
        </w:rPr>
        <w:t>3.成交供应商</w:t>
      </w:r>
      <w:r>
        <w:rPr>
          <w:rFonts w:ascii="宋体" w:hAnsi="宋体"/>
          <w:kern w:val="0"/>
          <w:sz w:val="24"/>
        </w:rPr>
        <w:t>的</w:t>
      </w:r>
      <w:r>
        <w:rPr>
          <w:rFonts w:hint="eastAsia" w:ascii="宋体" w:hAnsi="宋体"/>
          <w:kern w:val="0"/>
          <w:sz w:val="24"/>
        </w:rPr>
        <w:t>磋商响应文件</w:t>
      </w:r>
      <w:r>
        <w:rPr>
          <w:rFonts w:ascii="宋体" w:hAnsi="宋体"/>
          <w:kern w:val="0"/>
          <w:sz w:val="24"/>
        </w:rPr>
        <w:t>自磋商之日起至合同履行完毕均应保持有效。</w:t>
      </w:r>
      <w:bookmarkEnd w:id="35"/>
    </w:p>
    <w:p w14:paraId="15B27374">
      <w:pPr>
        <w:pStyle w:val="14"/>
        <w:adjustRightInd w:val="0"/>
        <w:snapToGrid w:val="0"/>
        <w:spacing w:line="360" w:lineRule="auto"/>
        <w:rPr>
          <w:rFonts w:hAnsi="宋体"/>
          <w:b/>
          <w:sz w:val="24"/>
        </w:rPr>
      </w:pPr>
      <w:r>
        <w:rPr>
          <w:rFonts w:hint="eastAsia" w:hAnsi="宋体"/>
          <w:b/>
          <w:sz w:val="24"/>
        </w:rPr>
        <w:t>四、磋商保证金：</w:t>
      </w:r>
      <w:r>
        <w:rPr>
          <w:rFonts w:hint="eastAsia" w:hAnsi="宋体" w:cs="Times New Roman"/>
          <w:kern w:val="0"/>
          <w:sz w:val="24"/>
          <w:szCs w:val="22"/>
        </w:rPr>
        <w:t>本项目不设磋商保证金。</w:t>
      </w:r>
    </w:p>
    <w:p w14:paraId="381D9B28">
      <w:pPr>
        <w:pStyle w:val="14"/>
        <w:adjustRightInd w:val="0"/>
        <w:snapToGrid w:val="0"/>
        <w:spacing w:line="360" w:lineRule="auto"/>
        <w:rPr>
          <w:rFonts w:hAnsi="宋体"/>
          <w:b/>
          <w:sz w:val="24"/>
        </w:rPr>
      </w:pPr>
      <w:r>
        <w:rPr>
          <w:rFonts w:hint="eastAsia" w:hAnsi="宋体"/>
          <w:b/>
          <w:sz w:val="24"/>
        </w:rPr>
        <w:t>五、磋商</w:t>
      </w:r>
    </w:p>
    <w:p w14:paraId="7B4715DC">
      <w:pPr>
        <w:autoSpaceDE w:val="0"/>
        <w:autoSpaceDN w:val="0"/>
        <w:adjustRightInd w:val="0"/>
        <w:snapToGrid w:val="0"/>
        <w:spacing w:line="360" w:lineRule="auto"/>
        <w:rPr>
          <w:rFonts w:ascii="宋体" w:hAnsi="宋体"/>
          <w:kern w:val="0"/>
          <w:sz w:val="24"/>
        </w:rPr>
      </w:pPr>
      <w:r>
        <w:rPr>
          <w:rFonts w:hint="eastAsia" w:ascii="宋体" w:hAnsi="宋体"/>
          <w:b/>
          <w:sz w:val="24"/>
        </w:rPr>
        <w:t>（一）磋商程序</w:t>
      </w:r>
    </w:p>
    <w:p w14:paraId="30F6B8D2">
      <w:pPr>
        <w:autoSpaceDE w:val="0"/>
        <w:autoSpaceDN w:val="0"/>
        <w:adjustRightInd w:val="0"/>
        <w:snapToGrid w:val="0"/>
        <w:spacing w:line="360" w:lineRule="auto"/>
        <w:ind w:firstLine="475" w:firstLineChars="198"/>
        <w:rPr>
          <w:rFonts w:ascii="宋体" w:hAnsi="宋体"/>
          <w:sz w:val="24"/>
        </w:rPr>
      </w:pPr>
      <w:r>
        <w:rPr>
          <w:rFonts w:hint="eastAsia" w:ascii="宋体" w:hAnsi="宋体"/>
          <w:sz w:val="24"/>
        </w:rPr>
        <w:t>1.</w:t>
      </w:r>
      <w:r>
        <w:rPr>
          <w:rFonts w:hint="eastAsia" w:ascii="宋体" w:hAnsi="宋体"/>
          <w:sz w:val="24"/>
          <w:lang w:eastAsia="zh-CN"/>
        </w:rPr>
        <w:t>采购人</w:t>
      </w:r>
      <w:r>
        <w:rPr>
          <w:rFonts w:hint="eastAsia" w:ascii="宋体" w:hAnsi="宋体"/>
          <w:sz w:val="24"/>
        </w:rPr>
        <w:t>将在“磋商公告”规定的时间和地点进行磋商，磋商采购会议由采购</w:t>
      </w:r>
      <w:r>
        <w:rPr>
          <w:rFonts w:hint="eastAsia" w:ascii="宋体" w:hAnsi="宋体"/>
          <w:sz w:val="24"/>
          <w:lang w:val="en-US" w:eastAsia="zh-CN"/>
        </w:rPr>
        <w:t>人</w:t>
      </w:r>
      <w:r>
        <w:rPr>
          <w:rFonts w:hint="eastAsia" w:ascii="宋体" w:hAnsi="宋体"/>
          <w:sz w:val="24"/>
        </w:rPr>
        <w:t>主持，所有供应商均应准时参加磋商采购会议。</w:t>
      </w:r>
    </w:p>
    <w:p w14:paraId="1B84229C">
      <w:pPr>
        <w:autoSpaceDE w:val="0"/>
        <w:autoSpaceDN w:val="0"/>
        <w:adjustRightInd w:val="0"/>
        <w:snapToGrid w:val="0"/>
        <w:spacing w:line="360" w:lineRule="auto"/>
        <w:ind w:firstLine="475" w:firstLineChars="198"/>
        <w:rPr>
          <w:rFonts w:ascii="宋体" w:hAnsi="宋体"/>
          <w:sz w:val="24"/>
        </w:rPr>
      </w:pPr>
      <w:r>
        <w:rPr>
          <w:rFonts w:hint="eastAsia" w:ascii="宋体" w:hAnsi="宋体"/>
          <w:sz w:val="24"/>
        </w:rPr>
        <w:t>2.采购</w:t>
      </w:r>
      <w:r>
        <w:rPr>
          <w:rFonts w:hint="eastAsia" w:ascii="宋体" w:hAnsi="宋体"/>
          <w:sz w:val="24"/>
          <w:lang w:val="en-US" w:eastAsia="zh-CN"/>
        </w:rPr>
        <w:t>人</w:t>
      </w:r>
      <w:r>
        <w:rPr>
          <w:rFonts w:hint="eastAsia" w:ascii="宋体" w:hAnsi="宋体"/>
          <w:sz w:val="24"/>
        </w:rPr>
        <w:t>应当核验出席磋商活动现场的各供应商代表及相关单位人员身份，并组织其分别登记、签到，无关人员可拒绝其进入现场。</w:t>
      </w:r>
    </w:p>
    <w:p w14:paraId="02B7DA8C">
      <w:pPr>
        <w:autoSpaceDE w:val="0"/>
        <w:autoSpaceDN w:val="0"/>
        <w:adjustRightInd w:val="0"/>
        <w:snapToGrid w:val="0"/>
        <w:spacing w:line="360" w:lineRule="auto"/>
        <w:ind w:firstLine="475" w:firstLineChars="198"/>
        <w:rPr>
          <w:rFonts w:ascii="宋体" w:hAnsi="宋体"/>
          <w:sz w:val="24"/>
        </w:rPr>
      </w:pPr>
      <w:r>
        <w:rPr>
          <w:rFonts w:hint="eastAsia" w:ascii="宋体" w:hAnsi="宋体"/>
          <w:sz w:val="24"/>
        </w:rPr>
        <w:t>3.采购</w:t>
      </w:r>
      <w:r>
        <w:rPr>
          <w:rFonts w:hint="eastAsia" w:ascii="宋体" w:hAnsi="宋体"/>
          <w:sz w:val="24"/>
          <w:lang w:val="en-US" w:eastAsia="zh-CN"/>
        </w:rPr>
        <w:t>人</w:t>
      </w:r>
      <w:r>
        <w:rPr>
          <w:rFonts w:hint="eastAsia" w:ascii="宋体" w:hAnsi="宋体"/>
          <w:sz w:val="24"/>
        </w:rPr>
        <w:t>接收磋商响应文件并登记，并由供应商代表对递交记录情况进行签字确认。</w:t>
      </w:r>
    </w:p>
    <w:p w14:paraId="783E6C33">
      <w:pPr>
        <w:autoSpaceDE w:val="0"/>
        <w:autoSpaceDN w:val="0"/>
        <w:adjustRightInd w:val="0"/>
        <w:snapToGrid w:val="0"/>
        <w:spacing w:line="360" w:lineRule="auto"/>
        <w:ind w:firstLine="475" w:firstLineChars="198"/>
        <w:rPr>
          <w:rFonts w:ascii="宋体" w:hAnsi="宋体"/>
          <w:sz w:val="24"/>
          <w:highlight w:val="none"/>
        </w:rPr>
      </w:pPr>
      <w:r>
        <w:rPr>
          <w:rFonts w:hint="eastAsia" w:ascii="宋体" w:hAnsi="宋体"/>
          <w:sz w:val="24"/>
        </w:rPr>
        <w:t>4.</w:t>
      </w:r>
      <w:r>
        <w:rPr>
          <w:rFonts w:ascii="宋体" w:hAnsi="宋体"/>
          <w:sz w:val="24"/>
        </w:rPr>
        <w:t>主持人宣布</w:t>
      </w:r>
      <w:r>
        <w:rPr>
          <w:rFonts w:hint="eastAsia" w:ascii="宋体" w:hAnsi="宋体"/>
          <w:sz w:val="24"/>
        </w:rPr>
        <w:t>磋商采购会议开始，介绍磋商现场的人员情况，宣读提交磋商响应文件的供应商名单、磋商纪律、应当回避的情形等注意事项，组织供应商签署不存在影响公平竞争的</w:t>
      </w:r>
      <w:r>
        <w:rPr>
          <w:rFonts w:hint="eastAsia" w:ascii="宋体" w:hAnsi="宋体"/>
          <w:sz w:val="24"/>
          <w:highlight w:val="none"/>
        </w:rPr>
        <w:t>《采购活动现场确认声明书》。</w:t>
      </w:r>
    </w:p>
    <w:p w14:paraId="347611F9">
      <w:pPr>
        <w:autoSpaceDE w:val="0"/>
        <w:autoSpaceDN w:val="0"/>
        <w:adjustRightInd w:val="0"/>
        <w:snapToGrid w:val="0"/>
        <w:spacing w:line="360" w:lineRule="auto"/>
        <w:ind w:firstLine="475" w:firstLineChars="198"/>
        <w:rPr>
          <w:rFonts w:ascii="宋体" w:hAnsi="宋体"/>
          <w:sz w:val="24"/>
        </w:rPr>
      </w:pPr>
      <w:r>
        <w:rPr>
          <w:rFonts w:hint="eastAsia" w:ascii="宋体" w:hAnsi="宋体"/>
          <w:sz w:val="24"/>
        </w:rPr>
        <w:t>5.</w:t>
      </w:r>
      <w:r>
        <w:rPr>
          <w:rFonts w:ascii="宋体" w:hAnsi="宋体"/>
          <w:sz w:val="24"/>
        </w:rPr>
        <w:t>提请</w:t>
      </w:r>
      <w:r>
        <w:rPr>
          <w:rFonts w:hint="eastAsia" w:ascii="宋体" w:hAnsi="宋体"/>
          <w:sz w:val="24"/>
        </w:rPr>
        <w:t>供应商</w:t>
      </w:r>
      <w:r>
        <w:rPr>
          <w:rFonts w:ascii="宋体" w:hAnsi="宋体"/>
          <w:sz w:val="24"/>
        </w:rPr>
        <w:t>代表查验</w:t>
      </w:r>
      <w:r>
        <w:rPr>
          <w:rFonts w:hint="eastAsia" w:ascii="宋体" w:hAnsi="宋体"/>
          <w:sz w:val="24"/>
        </w:rPr>
        <w:t>磋商响应文件</w:t>
      </w:r>
      <w:r>
        <w:rPr>
          <w:rFonts w:ascii="宋体" w:hAnsi="宋体"/>
          <w:sz w:val="24"/>
        </w:rPr>
        <w:t xml:space="preserve">密封情况。 </w:t>
      </w:r>
    </w:p>
    <w:p w14:paraId="6E14D9F2">
      <w:pPr>
        <w:autoSpaceDE w:val="0"/>
        <w:autoSpaceDN w:val="0"/>
        <w:adjustRightInd w:val="0"/>
        <w:snapToGrid w:val="0"/>
        <w:spacing w:line="360" w:lineRule="auto"/>
        <w:ind w:firstLine="475" w:firstLineChars="198"/>
        <w:rPr>
          <w:rFonts w:ascii="宋体" w:hAnsi="宋体" w:cs="宋体"/>
          <w:sz w:val="24"/>
        </w:rPr>
      </w:pPr>
      <w:r>
        <w:rPr>
          <w:rFonts w:hint="eastAsia" w:ascii="宋体" w:hAnsi="宋体"/>
          <w:sz w:val="24"/>
        </w:rPr>
        <w:t>6.主持人按磋商磋商供应商签到的先后顺序当场拆封磋商文件，并送至评审场</w:t>
      </w:r>
      <w:r>
        <w:rPr>
          <w:rFonts w:hint="eastAsia" w:ascii="宋体" w:hAnsi="宋体" w:cs="宋体"/>
          <w:sz w:val="24"/>
        </w:rPr>
        <w:t>所。</w:t>
      </w:r>
    </w:p>
    <w:p w14:paraId="7004FC0C">
      <w:pPr>
        <w:adjustRightInd w:val="0"/>
        <w:snapToGrid w:val="0"/>
        <w:spacing w:line="360" w:lineRule="auto"/>
        <w:ind w:firstLine="480" w:firstLineChars="200"/>
        <w:rPr>
          <w:rFonts w:ascii="宋体" w:hAnsi="宋体" w:cs="宋体"/>
          <w:sz w:val="24"/>
        </w:rPr>
      </w:pPr>
      <w:r>
        <w:rPr>
          <w:rFonts w:hint="eastAsia" w:ascii="宋体" w:hAnsi="宋体" w:cs="宋体"/>
          <w:sz w:val="24"/>
        </w:rPr>
        <w:t>7.磋商小组必须按照客观、公正、审慎的原则，根据磋商文件规定的评审程序、评审方法和评审标准进行独立评审。未实质性响应磋商文件的响应文件按无效响应处理，磋商小组应当告知提交响应文件的供应商。</w:t>
      </w:r>
    </w:p>
    <w:p w14:paraId="506F962F">
      <w:pPr>
        <w:adjustRightInd w:val="0"/>
        <w:snapToGrid w:val="0"/>
        <w:spacing w:line="360" w:lineRule="auto"/>
        <w:ind w:firstLine="480" w:firstLineChars="200"/>
        <w:rPr>
          <w:rFonts w:ascii="宋体" w:hAnsi="宋体" w:cs="宋体"/>
          <w:sz w:val="24"/>
        </w:rPr>
      </w:pPr>
      <w:r>
        <w:rPr>
          <w:rFonts w:hint="eastAsia" w:ascii="宋体" w:hAnsi="宋体" w:cs="宋体"/>
          <w:sz w:val="24"/>
        </w:rPr>
        <w:t>8.磋商小组所有成员集中与单一供应商分别进行磋商，并给予所有参加磋商的供应商平等的磋商机会。</w:t>
      </w:r>
    </w:p>
    <w:p w14:paraId="776EFD9E">
      <w:pPr>
        <w:adjustRightInd w:val="0"/>
        <w:snapToGrid w:val="0"/>
        <w:spacing w:line="360" w:lineRule="auto"/>
        <w:ind w:firstLine="480" w:firstLineChars="200"/>
        <w:rPr>
          <w:rFonts w:ascii="宋体" w:hAnsi="宋体" w:cs="宋体"/>
          <w:sz w:val="24"/>
        </w:rPr>
      </w:pPr>
      <w:r>
        <w:rPr>
          <w:rFonts w:hint="eastAsia" w:ascii="宋体" w:hAnsi="宋体" w:cs="宋体"/>
          <w:sz w:val="24"/>
        </w:rPr>
        <w:t>9.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p>
    <w:p w14:paraId="0EC25CB9">
      <w:pPr>
        <w:adjustRightInd w:val="0"/>
        <w:snapToGrid w:val="0"/>
        <w:spacing w:line="360" w:lineRule="auto"/>
        <w:ind w:firstLine="480" w:firstLineChars="200"/>
        <w:rPr>
          <w:rFonts w:ascii="宋体" w:hAnsi="宋体" w:cs="宋体"/>
          <w:sz w:val="24"/>
        </w:rPr>
      </w:pPr>
      <w:r>
        <w:rPr>
          <w:rFonts w:hint="eastAsia" w:ascii="宋体" w:hAnsi="宋体" w:cs="宋体"/>
          <w:sz w:val="24"/>
        </w:rPr>
        <w:t xml:space="preserve">10.磋商文件能够详细列明采购标的的技术、服务要求的，磋商结束后，磋商小组将要求所有实质性响应的供应商在规定时间内提交最终报价，最终报价是供应商响应文件的有效组成部分。 </w:t>
      </w:r>
    </w:p>
    <w:p w14:paraId="17968DDA">
      <w:pPr>
        <w:adjustRightInd w:val="0"/>
        <w:snapToGrid w:val="0"/>
        <w:spacing w:line="360" w:lineRule="auto"/>
        <w:ind w:firstLine="480" w:firstLineChars="200"/>
        <w:rPr>
          <w:rFonts w:ascii="宋体" w:hAnsi="宋体" w:cs="宋体"/>
          <w:sz w:val="24"/>
        </w:rPr>
      </w:pPr>
      <w:r>
        <w:rPr>
          <w:rFonts w:hint="eastAsia" w:ascii="宋体" w:hAnsi="宋体" w:cs="宋体"/>
          <w:sz w:val="24"/>
        </w:rPr>
        <w:t>11.经磋商确定最终采购需求和提交最终报价的供应商后，由磋商小组采用综合评分法对提交最终报价的供应商的响应文件和最终报价进行综合评分。</w:t>
      </w:r>
    </w:p>
    <w:p w14:paraId="598CF6F2">
      <w:pPr>
        <w:pStyle w:val="14"/>
        <w:adjustRightInd w:val="0"/>
        <w:snapToGrid w:val="0"/>
        <w:spacing w:line="360" w:lineRule="auto"/>
        <w:ind w:firstLine="480" w:firstLineChars="200"/>
        <w:rPr>
          <w:rFonts w:hAnsi="宋体" w:cs="宋体"/>
          <w:sz w:val="24"/>
        </w:rPr>
      </w:pPr>
      <w:r>
        <w:rPr>
          <w:rFonts w:hint="eastAsia" w:hAnsi="宋体" w:cs="宋体"/>
          <w:sz w:val="24"/>
        </w:rPr>
        <w:t>12.磋商小组</w:t>
      </w:r>
      <w:r>
        <w:rPr>
          <w:rFonts w:hAnsi="宋体" w:cs="宋体"/>
          <w:sz w:val="24"/>
        </w:rPr>
        <w:t>根据综合评分情况，按照评审得分由高到低顺序</w:t>
      </w:r>
      <w:r>
        <w:rPr>
          <w:rFonts w:hint="eastAsia" w:hAnsi="宋体" w:cs="宋体"/>
          <w:sz w:val="24"/>
        </w:rPr>
        <w:t>推荐成交供应商，编写评审报告。</w:t>
      </w:r>
    </w:p>
    <w:p w14:paraId="206247A9">
      <w:pPr>
        <w:pStyle w:val="14"/>
        <w:adjustRightInd w:val="0"/>
        <w:snapToGrid w:val="0"/>
        <w:spacing w:line="360" w:lineRule="auto"/>
        <w:ind w:firstLine="480" w:firstLineChars="200"/>
        <w:rPr>
          <w:rFonts w:hAnsi="宋体" w:cs="宋体"/>
          <w:sz w:val="24"/>
        </w:rPr>
      </w:pPr>
      <w:r>
        <w:rPr>
          <w:rFonts w:hint="eastAsia" w:hAnsi="宋体" w:cs="宋体"/>
          <w:sz w:val="24"/>
        </w:rPr>
        <w:t>13.</w:t>
      </w:r>
      <w:r>
        <w:rPr>
          <w:rFonts w:hint="eastAsia" w:hAnsi="宋体" w:cs="宋体"/>
          <w:sz w:val="24"/>
          <w:lang w:eastAsia="zh-CN"/>
        </w:rPr>
        <w:t>采购人</w:t>
      </w:r>
      <w:r>
        <w:rPr>
          <w:rFonts w:hint="eastAsia" w:hAnsi="宋体" w:cs="宋体"/>
          <w:sz w:val="24"/>
        </w:rPr>
        <w:t>对磋商小组专家成员进行评价；</w:t>
      </w:r>
    </w:p>
    <w:p w14:paraId="3BB9097D">
      <w:pPr>
        <w:adjustRightInd w:val="0"/>
        <w:snapToGrid w:val="0"/>
        <w:spacing w:line="360" w:lineRule="auto"/>
        <w:ind w:firstLine="480" w:firstLineChars="200"/>
        <w:rPr>
          <w:rFonts w:ascii="宋体" w:hAnsi="宋体" w:cs="宋体"/>
          <w:sz w:val="24"/>
        </w:rPr>
      </w:pPr>
      <w:r>
        <w:rPr>
          <w:rFonts w:hint="eastAsia" w:ascii="宋体" w:hAnsi="宋体" w:cs="宋体"/>
          <w:sz w:val="24"/>
        </w:rPr>
        <w:t>14.主持人到磋商采购会现场宣布磋商结果（含技术得分、最终报价、报价得分及总得分），磋商采购会议结束。</w:t>
      </w:r>
    </w:p>
    <w:p w14:paraId="4AA7B158">
      <w:pPr>
        <w:pStyle w:val="14"/>
        <w:adjustRightInd w:val="0"/>
        <w:snapToGrid w:val="0"/>
        <w:spacing w:line="360" w:lineRule="auto"/>
        <w:ind w:left="720" w:leftChars="228" w:hanging="241" w:hangingChars="100"/>
        <w:rPr>
          <w:rFonts w:hAnsi="宋体"/>
          <w:sz w:val="24"/>
        </w:rPr>
      </w:pPr>
      <w:r>
        <w:rPr>
          <w:rFonts w:hint="eastAsia" w:hAnsi="宋体"/>
          <w:b/>
          <w:sz w:val="24"/>
        </w:rPr>
        <w:t>（二）澄清问题的形式</w:t>
      </w:r>
    </w:p>
    <w:p w14:paraId="3AC6403D">
      <w:pPr>
        <w:adjustRightInd w:val="0"/>
        <w:snapToGrid w:val="0"/>
        <w:spacing w:line="360" w:lineRule="auto"/>
        <w:ind w:firstLine="480" w:firstLineChars="200"/>
        <w:rPr>
          <w:rFonts w:ascii="宋体" w:hAnsi="宋体"/>
          <w:sz w:val="24"/>
        </w:rPr>
      </w:pPr>
      <w:r>
        <w:rPr>
          <w:rFonts w:hint="eastAsia" w:ascii="宋体" w:hAnsi="宋体"/>
          <w:sz w:val="24"/>
        </w:rPr>
        <w:t>磋商供应商的澄清、说明或者补正应当采用书面形式，并加盖公章，或者由法定代理人或其授权的代表签字，并不得超出磋商响应文件的范围或者改变磋商响应文件的实质性内容。</w:t>
      </w:r>
    </w:p>
    <w:p w14:paraId="64D9B7B7">
      <w:pPr>
        <w:adjustRightInd w:val="0"/>
        <w:snapToGrid w:val="0"/>
        <w:spacing w:line="360" w:lineRule="auto"/>
        <w:ind w:firstLine="482" w:firstLineChars="200"/>
        <w:rPr>
          <w:rFonts w:ascii="宋体" w:hAnsi="宋体"/>
          <w:sz w:val="24"/>
        </w:rPr>
      </w:pPr>
      <w:r>
        <w:rPr>
          <w:rFonts w:hint="eastAsia" w:hAnsi="宋体"/>
          <w:b/>
          <w:sz w:val="24"/>
        </w:rPr>
        <w:t>（三）错误修正</w:t>
      </w:r>
    </w:p>
    <w:p w14:paraId="61AEF720">
      <w:pPr>
        <w:pStyle w:val="25"/>
        <w:adjustRightInd w:val="0"/>
        <w:snapToGrid w:val="0"/>
        <w:spacing w:before="0" w:beforeAutospacing="0" w:after="0" w:afterAutospacing="0" w:line="360" w:lineRule="auto"/>
        <w:ind w:firstLine="480" w:firstLineChars="200"/>
        <w:jc w:val="both"/>
        <w:rPr>
          <w:rFonts w:hint="default"/>
        </w:rPr>
      </w:pPr>
      <w:r>
        <w:t>磋商响应文件报价出现前后不一致的，除</w:t>
      </w:r>
      <w:r>
        <w:rPr>
          <w:bCs/>
        </w:rPr>
        <w:t>磋商采购文件</w:t>
      </w:r>
      <w:r>
        <w:t>另有规定外，按照下列规定修正：</w:t>
      </w:r>
    </w:p>
    <w:p w14:paraId="5A975530">
      <w:pPr>
        <w:pStyle w:val="25"/>
        <w:adjustRightInd w:val="0"/>
        <w:snapToGrid w:val="0"/>
        <w:spacing w:before="0" w:beforeAutospacing="0" w:after="0" w:afterAutospacing="0" w:line="360" w:lineRule="auto"/>
        <w:jc w:val="both"/>
        <w:rPr>
          <w:rFonts w:hint="default"/>
        </w:rPr>
      </w:pPr>
      <w:r>
        <w:t>　　1.磋商响应文件中最终报价一览表内容与磋商响应文件中相应内容不一致的，以最终报价一览表为准；</w:t>
      </w:r>
    </w:p>
    <w:p w14:paraId="77BA400E">
      <w:pPr>
        <w:pStyle w:val="25"/>
        <w:adjustRightInd w:val="0"/>
        <w:snapToGrid w:val="0"/>
        <w:spacing w:before="0" w:beforeAutospacing="0" w:after="0" w:afterAutospacing="0" w:line="360" w:lineRule="auto"/>
        <w:jc w:val="both"/>
        <w:rPr>
          <w:rFonts w:hint="default"/>
        </w:rPr>
      </w:pPr>
      <w:r>
        <w:t>　　2.大写金额和小写金额不一致的，以大写金额为准；</w:t>
      </w:r>
    </w:p>
    <w:p w14:paraId="24F4FD63">
      <w:pPr>
        <w:pStyle w:val="25"/>
        <w:adjustRightInd w:val="0"/>
        <w:snapToGrid w:val="0"/>
        <w:spacing w:before="0" w:beforeAutospacing="0" w:after="0" w:afterAutospacing="0" w:line="360" w:lineRule="auto"/>
        <w:jc w:val="both"/>
        <w:rPr>
          <w:rFonts w:hint="default"/>
        </w:rPr>
      </w:pPr>
      <w:r>
        <w:t>　　3.报价明细清单的总价金额与按单价小计汇总金额不一致的，以总价金额为准；</w:t>
      </w:r>
    </w:p>
    <w:p w14:paraId="7DB62D91">
      <w:pPr>
        <w:pStyle w:val="25"/>
        <w:adjustRightInd w:val="0"/>
        <w:snapToGrid w:val="0"/>
        <w:spacing w:before="0" w:beforeAutospacing="0" w:after="0" w:afterAutospacing="0" w:line="360" w:lineRule="auto"/>
        <w:jc w:val="both"/>
        <w:rPr>
          <w:rFonts w:hint="default"/>
        </w:rPr>
      </w:pPr>
      <w:r>
        <w:t>　　4.报价明细清单的数量乘以单价的结算结果与小计不一致的，以小计金额为准，修正单价。</w:t>
      </w:r>
    </w:p>
    <w:p w14:paraId="47B03113">
      <w:pPr>
        <w:pStyle w:val="25"/>
        <w:adjustRightInd w:val="0"/>
        <w:snapToGrid w:val="0"/>
        <w:spacing w:before="0" w:beforeAutospacing="0" w:after="0" w:afterAutospacing="0" w:line="360" w:lineRule="auto"/>
        <w:ind w:firstLine="480"/>
        <w:jc w:val="both"/>
        <w:rPr>
          <w:rFonts w:hint="default"/>
        </w:rPr>
      </w:pPr>
      <w:r>
        <w:t>同时出现两种以上不一致的，按照前款规定的顺序修正。修正应当采用书面形式，并加盖公章，或者由法定代表人或其授权的代表签字。修正后的报价经磋商供应商确认后产生约束力，磋商供应商不确认的，将终止磋商。</w:t>
      </w:r>
    </w:p>
    <w:p w14:paraId="24BAE739">
      <w:pPr>
        <w:adjustRightInd w:val="0"/>
        <w:snapToGrid w:val="0"/>
        <w:spacing w:line="360" w:lineRule="auto"/>
        <w:ind w:firstLine="482" w:firstLineChars="200"/>
        <w:rPr>
          <w:rFonts w:hAnsi="宋体"/>
          <w:b/>
          <w:sz w:val="24"/>
        </w:rPr>
      </w:pPr>
      <w:r>
        <w:rPr>
          <w:rFonts w:hint="eastAsia" w:hAnsi="宋体"/>
          <w:b/>
          <w:sz w:val="24"/>
        </w:rPr>
        <w:t>（四）磋商供应商存在下列情况之一的，响应无效，终止磋商</w:t>
      </w:r>
    </w:p>
    <w:p w14:paraId="75587C3C">
      <w:pPr>
        <w:pStyle w:val="25"/>
        <w:tabs>
          <w:tab w:val="left" w:pos="7380"/>
        </w:tabs>
        <w:adjustRightInd w:val="0"/>
        <w:snapToGrid w:val="0"/>
        <w:spacing w:before="0" w:beforeAutospacing="0" w:after="0" w:afterAutospacing="0" w:line="360" w:lineRule="auto"/>
        <w:ind w:firstLine="480" w:firstLineChars="200"/>
        <w:rPr>
          <w:rFonts w:hint="default"/>
        </w:rPr>
      </w:pPr>
      <w:r>
        <w:t>1.供应商不具备竞争性磋商文件中规定资格条件的或未提供合格的资格证明文件的；</w:t>
      </w:r>
    </w:p>
    <w:p w14:paraId="5F84B713">
      <w:pPr>
        <w:pStyle w:val="25"/>
        <w:tabs>
          <w:tab w:val="left" w:pos="7380"/>
        </w:tabs>
        <w:adjustRightInd w:val="0"/>
        <w:snapToGrid w:val="0"/>
        <w:spacing w:before="0" w:beforeAutospacing="0" w:after="0" w:afterAutospacing="0" w:line="360" w:lineRule="auto"/>
        <w:ind w:firstLine="480" w:firstLineChars="200"/>
        <w:rPr>
          <w:rFonts w:hint="default"/>
        </w:rPr>
      </w:pPr>
      <w:r>
        <w:t>2.磋商响应文件中的报价货物、服务跟商务与技术内容中的供应货物、服务出现重大偏差的；</w:t>
      </w:r>
    </w:p>
    <w:p w14:paraId="42F5217C">
      <w:pPr>
        <w:pStyle w:val="25"/>
        <w:tabs>
          <w:tab w:val="left" w:pos="7380"/>
        </w:tabs>
        <w:adjustRightInd w:val="0"/>
        <w:snapToGrid w:val="0"/>
        <w:spacing w:before="0" w:beforeAutospacing="0" w:after="0" w:afterAutospacing="0" w:line="360" w:lineRule="auto"/>
        <w:ind w:firstLine="480" w:firstLineChars="200"/>
        <w:rPr>
          <w:rFonts w:hint="default"/>
        </w:rPr>
      </w:pPr>
      <w:r>
        <w:t>3.磋商响应文件含有采购人不能接受的附加条件的。</w:t>
      </w:r>
    </w:p>
    <w:p w14:paraId="3E5479AE">
      <w:pPr>
        <w:pStyle w:val="25"/>
        <w:tabs>
          <w:tab w:val="left" w:pos="7380"/>
        </w:tabs>
        <w:adjustRightInd w:val="0"/>
        <w:snapToGrid w:val="0"/>
        <w:spacing w:before="0" w:beforeAutospacing="0" w:after="0" w:afterAutospacing="0" w:line="360" w:lineRule="auto"/>
        <w:ind w:firstLine="480" w:firstLineChars="200"/>
        <w:rPr>
          <w:rFonts w:hint="default"/>
        </w:rPr>
      </w:pPr>
      <w:r>
        <w:t>4.供应商代表人未能出具身份证明或与法定代表人授权委托人身份不符的；</w:t>
      </w:r>
    </w:p>
    <w:p w14:paraId="7815D760">
      <w:pPr>
        <w:pStyle w:val="25"/>
        <w:tabs>
          <w:tab w:val="left" w:pos="7380"/>
        </w:tabs>
        <w:adjustRightInd w:val="0"/>
        <w:snapToGrid w:val="0"/>
        <w:spacing w:before="0" w:beforeAutospacing="0" w:after="0" w:afterAutospacing="0" w:line="360" w:lineRule="auto"/>
        <w:ind w:firstLine="480" w:firstLineChars="200"/>
        <w:rPr>
          <w:rFonts w:hint="default"/>
        </w:rPr>
      </w:pPr>
      <w:r>
        <w:t>5.磋商小组认为供应商的最终报价明显低于其他通过符合性审查供应商的最终报价，有可能影响产品、服务质量或者不能诚信履约的，应当要求其在评审现场合理的时间内提供书面说明，必要时提交相关证明材料；供应商不能证明其报价合理性的，磋商小组应当与其终止磋商。</w:t>
      </w:r>
    </w:p>
    <w:p w14:paraId="74A7EC36">
      <w:pPr>
        <w:pStyle w:val="25"/>
        <w:adjustRightInd w:val="0"/>
        <w:snapToGrid w:val="0"/>
        <w:spacing w:before="0" w:beforeAutospacing="0" w:after="0" w:afterAutospacing="0" w:line="360" w:lineRule="auto"/>
        <w:ind w:firstLine="480" w:firstLineChars="200"/>
        <w:rPr>
          <w:rFonts w:hint="default"/>
        </w:rPr>
      </w:pPr>
      <w:r>
        <w:t>6.报价超过磋商采购文件中规定的预算金额/最高限价（结算率）；</w:t>
      </w:r>
    </w:p>
    <w:p w14:paraId="196E4640">
      <w:pPr>
        <w:pStyle w:val="25"/>
        <w:adjustRightInd w:val="0"/>
        <w:snapToGrid w:val="0"/>
        <w:spacing w:before="0" w:beforeAutospacing="0" w:after="0" w:afterAutospacing="0" w:line="360" w:lineRule="auto"/>
        <w:ind w:firstLine="480" w:firstLineChars="200"/>
        <w:rPr>
          <w:rFonts w:hint="default"/>
        </w:rPr>
      </w:pPr>
      <w:r>
        <w:t>7.标项以赠送方式响应的或对一个标项提供两个磋商响应方案的；</w:t>
      </w:r>
    </w:p>
    <w:p w14:paraId="329FA0B9">
      <w:pPr>
        <w:pStyle w:val="25"/>
        <w:adjustRightInd w:val="0"/>
        <w:snapToGrid w:val="0"/>
        <w:spacing w:before="0" w:beforeAutospacing="0" w:after="0" w:afterAutospacing="0" w:line="360" w:lineRule="auto"/>
        <w:ind w:firstLine="480" w:firstLineChars="200"/>
        <w:rPr>
          <w:rFonts w:hint="default"/>
        </w:rPr>
      </w:pPr>
      <w:r>
        <w:t>8.</w:t>
      </w:r>
      <w:r>
        <w:rPr>
          <w:rFonts w:cs="Arial"/>
        </w:rPr>
        <w:t>未按照竞争性磋商文件规定要求密封、签署、盖章的</w:t>
      </w:r>
      <w:r>
        <w:rPr>
          <w:rFonts w:cs="宋体"/>
        </w:rPr>
        <w:t>（所有盖章均加盖磋商单位公章，其它印章均作无效）；</w:t>
      </w:r>
    </w:p>
    <w:p w14:paraId="6990E5B3">
      <w:pPr>
        <w:tabs>
          <w:tab w:val="left" w:pos="1898"/>
        </w:tabs>
        <w:autoSpaceDE w:val="0"/>
        <w:autoSpaceDN w:val="0"/>
        <w:adjustRightInd w:val="0"/>
        <w:snapToGrid w:val="0"/>
        <w:spacing w:line="360" w:lineRule="auto"/>
        <w:ind w:firstLine="480" w:firstLineChars="200"/>
        <w:jc w:val="left"/>
        <w:rPr>
          <w:rFonts w:ascii="宋体" w:hAnsi="宋体"/>
          <w:kern w:val="0"/>
          <w:sz w:val="24"/>
        </w:rPr>
      </w:pPr>
      <w:r>
        <w:rPr>
          <w:rFonts w:hint="eastAsia" w:ascii="宋体" w:hAnsi="宋体"/>
          <w:kern w:val="0"/>
          <w:sz w:val="24"/>
        </w:rPr>
        <w:t>9.磋商响应文件提供虚假材料的。</w:t>
      </w:r>
    </w:p>
    <w:p w14:paraId="35DD56AB">
      <w:pPr>
        <w:tabs>
          <w:tab w:val="left" w:pos="1898"/>
        </w:tabs>
        <w:autoSpaceDE w:val="0"/>
        <w:autoSpaceDN w:val="0"/>
        <w:adjustRightInd w:val="0"/>
        <w:snapToGrid w:val="0"/>
        <w:spacing w:line="360" w:lineRule="auto"/>
        <w:ind w:firstLine="480" w:firstLineChars="200"/>
        <w:jc w:val="left"/>
        <w:rPr>
          <w:rFonts w:ascii="宋体" w:hAnsi="宋体"/>
          <w:kern w:val="0"/>
          <w:sz w:val="24"/>
        </w:rPr>
      </w:pPr>
      <w:r>
        <w:rPr>
          <w:rFonts w:hint="eastAsia" w:ascii="宋体" w:hAnsi="宋体"/>
          <w:kern w:val="0"/>
          <w:sz w:val="24"/>
        </w:rPr>
        <w:t>10.</w:t>
      </w:r>
      <w:r>
        <w:rPr>
          <w:rFonts w:ascii="宋体" w:hAnsi="宋体"/>
          <w:kern w:val="0"/>
          <w:sz w:val="24"/>
        </w:rPr>
        <w:t>不同</w:t>
      </w:r>
      <w:r>
        <w:rPr>
          <w:rFonts w:hint="eastAsia" w:ascii="宋体" w:hAnsi="宋体"/>
          <w:kern w:val="0"/>
          <w:sz w:val="24"/>
        </w:rPr>
        <w:t>供应商</w:t>
      </w:r>
      <w:r>
        <w:rPr>
          <w:rFonts w:ascii="宋体" w:hAnsi="宋体"/>
          <w:kern w:val="0"/>
          <w:sz w:val="24"/>
        </w:rPr>
        <w:t>的</w:t>
      </w:r>
      <w:r>
        <w:rPr>
          <w:rFonts w:hint="eastAsia" w:ascii="宋体" w:hAnsi="宋体"/>
          <w:kern w:val="0"/>
          <w:sz w:val="24"/>
        </w:rPr>
        <w:t>磋商响应</w:t>
      </w:r>
      <w:r>
        <w:rPr>
          <w:rFonts w:ascii="宋体" w:hAnsi="宋体"/>
          <w:kern w:val="0"/>
          <w:sz w:val="24"/>
        </w:rPr>
        <w:t>文件由同一单位或者个人编制；</w:t>
      </w:r>
    </w:p>
    <w:p w14:paraId="3EF6B58A">
      <w:pPr>
        <w:pStyle w:val="25"/>
        <w:adjustRightInd w:val="0"/>
        <w:snapToGrid w:val="0"/>
        <w:spacing w:before="0" w:beforeAutospacing="0" w:after="0" w:afterAutospacing="0" w:line="360" w:lineRule="auto"/>
        <w:ind w:firstLine="480" w:firstLineChars="200"/>
        <w:rPr>
          <w:rFonts w:hint="default"/>
        </w:rPr>
      </w:pPr>
      <w:r>
        <w:t>11.不同供应商委托同一单位或者个人办理磋商事宜；</w:t>
      </w:r>
    </w:p>
    <w:p w14:paraId="61EFDEA0">
      <w:pPr>
        <w:pStyle w:val="25"/>
        <w:adjustRightInd w:val="0"/>
        <w:snapToGrid w:val="0"/>
        <w:spacing w:before="0" w:beforeAutospacing="0" w:after="0" w:afterAutospacing="0" w:line="360" w:lineRule="auto"/>
        <w:ind w:firstLine="480" w:firstLineChars="200"/>
        <w:rPr>
          <w:rFonts w:hint="default"/>
        </w:rPr>
      </w:pPr>
      <w:r>
        <w:t>12.不同供应商的磋商响应文件载明的项目管理成员或者联系人员为同一人；</w:t>
      </w:r>
    </w:p>
    <w:p w14:paraId="745FBB97">
      <w:pPr>
        <w:pStyle w:val="25"/>
        <w:adjustRightInd w:val="0"/>
        <w:snapToGrid w:val="0"/>
        <w:spacing w:before="0" w:beforeAutospacing="0" w:after="0" w:afterAutospacing="0" w:line="360" w:lineRule="auto"/>
        <w:ind w:firstLine="480" w:firstLineChars="200"/>
        <w:rPr>
          <w:rFonts w:hint="default"/>
        </w:rPr>
      </w:pPr>
      <w:r>
        <w:t>13.不同供应商的磋商响应文件异常一致或者报价呈规律性差异；</w:t>
      </w:r>
    </w:p>
    <w:p w14:paraId="6DF4CD03">
      <w:pPr>
        <w:pStyle w:val="25"/>
        <w:adjustRightInd w:val="0"/>
        <w:snapToGrid w:val="0"/>
        <w:spacing w:before="0" w:beforeAutospacing="0" w:after="0" w:afterAutospacing="0" w:line="360" w:lineRule="auto"/>
        <w:ind w:firstLine="480" w:firstLineChars="200"/>
        <w:rPr>
          <w:rFonts w:hint="default"/>
        </w:rPr>
      </w:pPr>
      <w:r>
        <w:t>14.不同供应商的磋商响应文件相互混装；</w:t>
      </w:r>
    </w:p>
    <w:p w14:paraId="26D1A27B">
      <w:pPr>
        <w:autoSpaceDE w:val="0"/>
        <w:autoSpaceDN w:val="0"/>
        <w:adjustRightInd w:val="0"/>
        <w:snapToGrid w:val="0"/>
        <w:spacing w:line="360" w:lineRule="auto"/>
        <w:ind w:firstLine="480" w:firstLineChars="200"/>
        <w:jc w:val="left"/>
        <w:rPr>
          <w:rFonts w:ascii="宋体" w:hAnsi="宋体"/>
          <w:kern w:val="0"/>
          <w:sz w:val="24"/>
        </w:rPr>
      </w:pPr>
      <w:r>
        <w:rPr>
          <w:rFonts w:hint="eastAsia" w:ascii="宋体" w:hAnsi="宋体"/>
          <w:kern w:val="0"/>
          <w:sz w:val="24"/>
        </w:rPr>
        <w:t>15.</w:t>
      </w:r>
      <w:r>
        <w:rPr>
          <w:rFonts w:ascii="宋体" w:hAnsi="宋体"/>
          <w:kern w:val="0"/>
          <w:sz w:val="24"/>
        </w:rPr>
        <w:t>不符合法律、法规和磋商采购文件中规定的其他实质性要求的（磋商采购文件中打“▲”内容及被拒绝的条款）</w:t>
      </w:r>
      <w:r>
        <w:rPr>
          <w:rFonts w:hint="eastAsia" w:ascii="宋体" w:hAnsi="宋体"/>
          <w:kern w:val="0"/>
          <w:sz w:val="24"/>
        </w:rPr>
        <w:t>；</w:t>
      </w:r>
    </w:p>
    <w:p w14:paraId="7B755587">
      <w:pPr>
        <w:autoSpaceDE w:val="0"/>
        <w:autoSpaceDN w:val="0"/>
        <w:adjustRightInd w:val="0"/>
        <w:snapToGrid w:val="0"/>
        <w:spacing w:line="360" w:lineRule="auto"/>
        <w:ind w:firstLine="480" w:firstLineChars="200"/>
        <w:jc w:val="left"/>
        <w:rPr>
          <w:rFonts w:ascii="宋体" w:hAnsi="宋体"/>
          <w:kern w:val="0"/>
          <w:sz w:val="24"/>
        </w:rPr>
      </w:pPr>
      <w:r>
        <w:rPr>
          <w:rFonts w:hint="eastAsia" w:ascii="宋体" w:hAnsi="宋体"/>
          <w:kern w:val="0"/>
          <w:sz w:val="24"/>
        </w:rPr>
        <w:t>16.</w:t>
      </w:r>
      <w:r>
        <w:rPr>
          <w:rFonts w:hint="eastAsia" w:ascii="宋体" w:hAnsi="宋体" w:cs="宋体"/>
          <w:kern w:val="0"/>
          <w:sz w:val="24"/>
        </w:rPr>
        <w:t>法律、法规规定或</w:t>
      </w:r>
      <w:r>
        <w:rPr>
          <w:rFonts w:ascii="宋体" w:hAnsi="宋体" w:cs="Arial"/>
          <w:kern w:val="0"/>
          <w:sz w:val="24"/>
        </w:rPr>
        <w:t>本竞争性磋商文件规定的属响应无效的</w:t>
      </w:r>
      <w:r>
        <w:rPr>
          <w:rFonts w:hint="eastAsia" w:ascii="宋体" w:hAnsi="宋体" w:cs="Arial"/>
          <w:kern w:val="0"/>
          <w:sz w:val="24"/>
        </w:rPr>
        <w:t>其他</w:t>
      </w:r>
      <w:r>
        <w:rPr>
          <w:rFonts w:ascii="宋体" w:hAnsi="宋体" w:cs="Arial"/>
          <w:kern w:val="0"/>
          <w:sz w:val="24"/>
        </w:rPr>
        <w:t>情形</w:t>
      </w:r>
      <w:r>
        <w:rPr>
          <w:rFonts w:hint="eastAsia" w:ascii="宋体" w:hAnsi="宋体" w:cs="Arial"/>
          <w:kern w:val="0"/>
          <w:sz w:val="24"/>
        </w:rPr>
        <w:t>。</w:t>
      </w:r>
    </w:p>
    <w:p w14:paraId="023DCD4B">
      <w:pPr>
        <w:autoSpaceDE w:val="0"/>
        <w:autoSpaceDN w:val="0"/>
        <w:adjustRightInd w:val="0"/>
        <w:snapToGrid w:val="0"/>
        <w:spacing w:line="360" w:lineRule="auto"/>
        <w:ind w:firstLine="482" w:firstLineChars="200"/>
        <w:jc w:val="left"/>
        <w:rPr>
          <w:rFonts w:ascii="宋体" w:hAnsi="宋体"/>
          <w:kern w:val="0"/>
          <w:sz w:val="24"/>
        </w:rPr>
      </w:pPr>
      <w:r>
        <w:rPr>
          <w:rFonts w:hint="eastAsia" w:ascii="宋体" w:hAnsi="宋体"/>
          <w:b/>
          <w:kern w:val="0"/>
          <w:sz w:val="24"/>
        </w:rPr>
        <w:t>（五）有下列情况之一的，本次磋商终止。</w:t>
      </w:r>
    </w:p>
    <w:p w14:paraId="77819457">
      <w:pPr>
        <w:pStyle w:val="25"/>
        <w:adjustRightInd w:val="0"/>
        <w:snapToGrid w:val="0"/>
        <w:spacing w:before="0" w:beforeAutospacing="0" w:after="0" w:afterAutospacing="0" w:line="360" w:lineRule="auto"/>
        <w:ind w:firstLine="600" w:firstLineChars="250"/>
        <w:jc w:val="both"/>
        <w:rPr>
          <w:rFonts w:hint="default"/>
        </w:rPr>
      </w:pPr>
      <w:r>
        <w:t>1.出现影响采购公正的违法、违规行为的；</w:t>
      </w:r>
    </w:p>
    <w:p w14:paraId="45ED8734">
      <w:pPr>
        <w:pStyle w:val="25"/>
        <w:adjustRightInd w:val="0"/>
        <w:snapToGrid w:val="0"/>
        <w:spacing w:before="0" w:beforeAutospacing="0" w:after="0" w:afterAutospacing="0" w:line="360" w:lineRule="auto"/>
        <w:ind w:firstLine="600" w:firstLineChars="250"/>
        <w:jc w:val="both"/>
        <w:rPr>
          <w:rFonts w:hint="default"/>
        </w:rPr>
      </w:pPr>
      <w:r>
        <w:t xml:space="preserve">2.磋商小组发现磋商文件存在歧义、重大缺陷导致评审工作无法进行，或者磋商文件内容违反国家有关强制性规定的； </w:t>
      </w:r>
    </w:p>
    <w:p w14:paraId="66F1956A">
      <w:pPr>
        <w:pStyle w:val="25"/>
        <w:adjustRightInd w:val="0"/>
        <w:snapToGrid w:val="0"/>
        <w:spacing w:before="0" w:beforeAutospacing="0" w:after="0" w:afterAutospacing="0" w:line="360" w:lineRule="auto"/>
        <w:ind w:firstLine="600" w:firstLineChars="250"/>
        <w:jc w:val="both"/>
        <w:rPr>
          <w:rFonts w:hint="default"/>
        </w:rPr>
      </w:pPr>
      <w:r>
        <w:t>3.因重大变故，采购任务取消的；</w:t>
      </w:r>
    </w:p>
    <w:p w14:paraId="3F685BD9">
      <w:pPr>
        <w:pStyle w:val="25"/>
        <w:adjustRightInd w:val="0"/>
        <w:snapToGrid w:val="0"/>
        <w:spacing w:before="0" w:beforeAutospacing="0" w:after="0" w:afterAutospacing="0" w:line="360" w:lineRule="auto"/>
        <w:ind w:firstLine="600" w:firstLineChars="250"/>
        <w:jc w:val="both"/>
        <w:rPr>
          <w:rFonts w:hint="default"/>
        </w:rPr>
      </w:pPr>
      <w:r>
        <w:t>4.法律、法规和磋商文件规定的其他导致评审结果无效的。</w:t>
      </w:r>
    </w:p>
    <w:p w14:paraId="10C1FF62">
      <w:pPr>
        <w:tabs>
          <w:tab w:val="left" w:pos="720"/>
          <w:tab w:val="left" w:pos="1260"/>
          <w:tab w:val="left" w:pos="2160"/>
          <w:tab w:val="left" w:pos="2880"/>
          <w:tab w:val="left" w:pos="3600"/>
          <w:tab w:val="left" w:pos="4320"/>
          <w:tab w:val="left" w:pos="5040"/>
          <w:tab w:val="left" w:pos="5760"/>
          <w:tab w:val="left" w:pos="8280"/>
        </w:tabs>
        <w:autoSpaceDE w:val="0"/>
        <w:autoSpaceDN w:val="0"/>
        <w:adjustRightInd w:val="0"/>
        <w:snapToGrid w:val="0"/>
        <w:spacing w:line="360" w:lineRule="auto"/>
        <w:ind w:right="25" w:firstLine="482" w:firstLineChars="200"/>
        <w:jc w:val="left"/>
        <w:rPr>
          <w:rFonts w:ascii="宋体"/>
          <w:b/>
          <w:kern w:val="0"/>
          <w:sz w:val="24"/>
        </w:rPr>
      </w:pPr>
      <w:r>
        <w:rPr>
          <w:rFonts w:hint="eastAsia" w:ascii="宋体"/>
          <w:b/>
          <w:kern w:val="0"/>
          <w:sz w:val="24"/>
        </w:rPr>
        <w:t>（六）磋商原则和方法</w:t>
      </w:r>
    </w:p>
    <w:p w14:paraId="54BC85C6">
      <w:pPr>
        <w:pStyle w:val="14"/>
        <w:adjustRightInd w:val="0"/>
        <w:snapToGrid w:val="0"/>
        <w:spacing w:line="360" w:lineRule="auto"/>
        <w:ind w:firstLine="600" w:firstLineChars="250"/>
        <w:rPr>
          <w:rFonts w:hAnsi="宋体"/>
          <w:sz w:val="24"/>
        </w:rPr>
      </w:pPr>
      <w:r>
        <w:rPr>
          <w:rFonts w:hAnsi="宋体"/>
          <w:sz w:val="24"/>
        </w:rPr>
        <w:t>1</w:t>
      </w:r>
      <w:r>
        <w:rPr>
          <w:rFonts w:hint="eastAsia" w:hAnsi="宋体"/>
          <w:sz w:val="24"/>
        </w:rPr>
        <w:t>.磋商</w:t>
      </w:r>
      <w:r>
        <w:rPr>
          <w:rFonts w:hAnsi="宋体"/>
          <w:sz w:val="24"/>
        </w:rPr>
        <w:t>原则。磋商小组必须公平、公正、客观，不带任何倾向性和启发性；不得向外界透露任何与评</w:t>
      </w:r>
      <w:r>
        <w:rPr>
          <w:sz w:val="24"/>
        </w:rPr>
        <w:t>审</w:t>
      </w:r>
      <w:r>
        <w:rPr>
          <w:rFonts w:hAnsi="宋体"/>
          <w:sz w:val="24"/>
        </w:rPr>
        <w:t>有关的内容；任何单位和个人不得干扰、影响评</w:t>
      </w:r>
      <w:r>
        <w:rPr>
          <w:sz w:val="24"/>
        </w:rPr>
        <w:t>审</w:t>
      </w:r>
      <w:r>
        <w:rPr>
          <w:rFonts w:hAnsi="宋体"/>
          <w:sz w:val="24"/>
        </w:rPr>
        <w:t>的正常进行；磋商小组及有关工作人员不得私下与</w:t>
      </w:r>
      <w:r>
        <w:rPr>
          <w:rFonts w:hint="eastAsia" w:hAnsi="宋体"/>
          <w:sz w:val="24"/>
        </w:rPr>
        <w:t>磋商供应商</w:t>
      </w:r>
      <w:r>
        <w:rPr>
          <w:rFonts w:hAnsi="宋体"/>
          <w:sz w:val="24"/>
        </w:rPr>
        <w:t>接触。</w:t>
      </w:r>
    </w:p>
    <w:p w14:paraId="0742298F">
      <w:pPr>
        <w:pStyle w:val="14"/>
        <w:adjustRightInd w:val="0"/>
        <w:snapToGrid w:val="0"/>
        <w:spacing w:line="360" w:lineRule="auto"/>
        <w:ind w:firstLine="600" w:firstLineChars="250"/>
        <w:rPr>
          <w:rFonts w:hAnsi="宋体"/>
          <w:sz w:val="24"/>
        </w:rPr>
      </w:pPr>
      <w:r>
        <w:rPr>
          <w:rFonts w:hAnsi="宋体"/>
          <w:sz w:val="24"/>
        </w:rPr>
        <w:t>2</w:t>
      </w:r>
      <w:r>
        <w:rPr>
          <w:rFonts w:hint="eastAsia" w:hAnsi="宋体"/>
          <w:sz w:val="24"/>
        </w:rPr>
        <w:t>.磋商</w:t>
      </w:r>
      <w:r>
        <w:rPr>
          <w:rFonts w:hAnsi="宋体"/>
          <w:sz w:val="24"/>
        </w:rPr>
        <w:t>办法。具体</w:t>
      </w:r>
      <w:r>
        <w:rPr>
          <w:rFonts w:hint="eastAsia" w:hAnsi="宋体"/>
          <w:sz w:val="24"/>
        </w:rPr>
        <w:t>磋商</w:t>
      </w:r>
      <w:r>
        <w:rPr>
          <w:rFonts w:hAnsi="宋体"/>
          <w:sz w:val="24"/>
        </w:rPr>
        <w:t>内容及评分标准等详见《第</w:t>
      </w:r>
      <w:r>
        <w:rPr>
          <w:rFonts w:hint="eastAsia" w:hAnsi="宋体"/>
          <w:sz w:val="24"/>
        </w:rPr>
        <w:t>四章</w:t>
      </w:r>
      <w:r>
        <w:rPr>
          <w:rFonts w:hAnsi="宋体"/>
          <w:sz w:val="24"/>
        </w:rPr>
        <w:t>：评</w:t>
      </w:r>
      <w:r>
        <w:rPr>
          <w:sz w:val="24"/>
        </w:rPr>
        <w:t>审</w:t>
      </w:r>
      <w:r>
        <w:rPr>
          <w:rFonts w:hint="eastAsia" w:hAnsi="宋体"/>
          <w:sz w:val="24"/>
        </w:rPr>
        <w:t>方</w:t>
      </w:r>
      <w:r>
        <w:rPr>
          <w:rFonts w:hAnsi="宋体"/>
          <w:sz w:val="24"/>
        </w:rPr>
        <w:t>法</w:t>
      </w:r>
      <w:r>
        <w:rPr>
          <w:rFonts w:hint="eastAsia" w:hAnsi="宋体"/>
          <w:sz w:val="24"/>
        </w:rPr>
        <w:t>、</w:t>
      </w:r>
      <w:r>
        <w:rPr>
          <w:rFonts w:hAnsi="宋体"/>
          <w:sz w:val="24"/>
        </w:rPr>
        <w:t>评分标准》。</w:t>
      </w:r>
    </w:p>
    <w:p w14:paraId="372235DC">
      <w:pPr>
        <w:pStyle w:val="14"/>
        <w:adjustRightInd w:val="0"/>
        <w:snapToGrid w:val="0"/>
        <w:spacing w:line="360" w:lineRule="auto"/>
        <w:rPr>
          <w:rFonts w:hAnsi="宋体"/>
          <w:b/>
          <w:sz w:val="24"/>
        </w:rPr>
      </w:pPr>
      <w:r>
        <w:rPr>
          <w:rFonts w:hAnsi="宋体"/>
          <w:b/>
          <w:sz w:val="24"/>
        </w:rPr>
        <w:t>六、磋商结果确定</w:t>
      </w:r>
    </w:p>
    <w:p w14:paraId="7E86A26F">
      <w:pPr>
        <w:adjustRightInd w:val="0"/>
        <w:snapToGrid w:val="0"/>
        <w:spacing w:line="360" w:lineRule="auto"/>
        <w:ind w:firstLine="480" w:firstLineChars="200"/>
        <w:rPr>
          <w:rFonts w:ascii="宋体" w:hAnsi="宋体"/>
          <w:kern w:val="0"/>
          <w:sz w:val="24"/>
        </w:rPr>
      </w:pPr>
      <w:r>
        <w:rPr>
          <w:rFonts w:ascii="宋体" w:hAnsi="宋体"/>
          <w:kern w:val="0"/>
          <w:sz w:val="24"/>
        </w:rPr>
        <w:t>1.确定成交供应商。磋商小组根据采购人授权意见，推荐成交候选供应商或直接确定成交供应商。其中推荐成交候选供应商的，</w:t>
      </w:r>
      <w:r>
        <w:rPr>
          <w:rFonts w:hint="eastAsia" w:ascii="宋体" w:hAnsi="宋体"/>
          <w:kern w:val="0"/>
          <w:sz w:val="24"/>
          <w:lang w:eastAsia="zh-CN"/>
        </w:rPr>
        <w:t>采购人</w:t>
      </w:r>
      <w:r>
        <w:rPr>
          <w:rFonts w:ascii="宋体" w:hAnsi="宋体"/>
          <w:kern w:val="0"/>
          <w:sz w:val="24"/>
        </w:rPr>
        <w:t>在评审结束之日起2个工作日内将评审报告送交采购人，由采购人在评审报告推荐的成交候选人中按顺序确定成交供应商。</w:t>
      </w:r>
    </w:p>
    <w:p w14:paraId="0D832FA9">
      <w:pPr>
        <w:adjustRightInd w:val="0"/>
        <w:snapToGrid w:val="0"/>
        <w:spacing w:line="360" w:lineRule="auto"/>
        <w:ind w:firstLine="480" w:firstLineChars="200"/>
        <w:rPr>
          <w:rFonts w:ascii="宋体" w:hAnsi="宋体"/>
          <w:kern w:val="0"/>
          <w:sz w:val="24"/>
          <w:highlight w:val="none"/>
        </w:rPr>
      </w:pPr>
      <w:r>
        <w:rPr>
          <w:rFonts w:hint="eastAsia" w:ascii="宋体" w:hAnsi="宋体"/>
          <w:kern w:val="0"/>
          <w:sz w:val="24"/>
        </w:rPr>
        <w:t>2.发布成交结果公告。</w:t>
      </w:r>
      <w:r>
        <w:rPr>
          <w:rFonts w:hint="eastAsia" w:ascii="宋体" w:hAnsi="宋体"/>
          <w:kern w:val="0"/>
          <w:sz w:val="24"/>
          <w:lang w:eastAsia="zh-CN"/>
        </w:rPr>
        <w:t>采购人</w:t>
      </w:r>
      <w:r>
        <w:rPr>
          <w:rFonts w:hint="eastAsia" w:ascii="宋体" w:hAnsi="宋体"/>
          <w:kern w:val="0"/>
          <w:sz w:val="24"/>
        </w:rPr>
        <w:t>应当在</w:t>
      </w:r>
      <w:r>
        <w:rPr>
          <w:rFonts w:ascii="宋体" w:hAnsi="宋体"/>
          <w:kern w:val="0"/>
          <w:sz w:val="24"/>
        </w:rPr>
        <w:t>成交供应商确定</w:t>
      </w:r>
      <w:r>
        <w:rPr>
          <w:rFonts w:hint="eastAsia" w:ascii="宋体" w:hAnsi="宋体"/>
          <w:kern w:val="0"/>
          <w:sz w:val="24"/>
        </w:rPr>
        <w:t>后</w:t>
      </w:r>
      <w:r>
        <w:rPr>
          <w:rFonts w:ascii="宋体" w:hAnsi="宋体"/>
          <w:kern w:val="0"/>
          <w:sz w:val="24"/>
        </w:rPr>
        <w:t>2个工作日内</w:t>
      </w:r>
      <w:r>
        <w:rPr>
          <w:rFonts w:hint="eastAsia" w:ascii="宋体" w:hAnsi="宋体"/>
          <w:kern w:val="0"/>
          <w:sz w:val="24"/>
        </w:rPr>
        <w:t>，</w:t>
      </w:r>
      <w:r>
        <w:rPr>
          <w:rFonts w:ascii="宋体" w:hAnsi="宋体"/>
          <w:kern w:val="0"/>
          <w:sz w:val="24"/>
          <w:highlight w:val="none"/>
        </w:rPr>
        <w:t>在</w:t>
      </w:r>
      <w:r>
        <w:rPr>
          <w:rFonts w:hint="eastAsia" w:ascii="宋体" w:hAnsi="宋体"/>
          <w:kern w:val="0"/>
          <w:sz w:val="24"/>
          <w:highlight w:val="none"/>
          <w:lang w:val="en-US" w:eastAsia="zh-CN"/>
        </w:rPr>
        <w:t>浙江</w:t>
      </w:r>
      <w:r>
        <w:rPr>
          <w:rFonts w:ascii="宋体" w:hAnsi="宋体"/>
          <w:kern w:val="0"/>
          <w:sz w:val="24"/>
          <w:highlight w:val="none"/>
        </w:rPr>
        <w:t>省</w:t>
      </w:r>
      <w:r>
        <w:rPr>
          <w:rFonts w:hint="eastAsia" w:ascii="宋体" w:hAnsi="宋体"/>
          <w:kern w:val="0"/>
          <w:sz w:val="24"/>
          <w:highlight w:val="none"/>
        </w:rPr>
        <w:t>政府采购</w:t>
      </w:r>
      <w:r>
        <w:rPr>
          <w:rFonts w:ascii="宋体" w:hAnsi="宋体"/>
          <w:kern w:val="0"/>
          <w:sz w:val="24"/>
          <w:highlight w:val="none"/>
        </w:rPr>
        <w:t>及</w:t>
      </w:r>
      <w:r>
        <w:rPr>
          <w:rFonts w:hint="eastAsia" w:ascii="宋体" w:hAnsi="宋体"/>
          <w:kern w:val="0"/>
          <w:sz w:val="24"/>
          <w:highlight w:val="none"/>
          <w:lang w:val="en-US" w:eastAsia="zh-CN"/>
        </w:rPr>
        <w:t>台州市中医院官网</w:t>
      </w:r>
      <w:r>
        <w:rPr>
          <w:rFonts w:hint="eastAsia" w:ascii="宋体" w:hAnsi="宋体"/>
          <w:kern w:val="0"/>
          <w:sz w:val="24"/>
          <w:highlight w:val="none"/>
        </w:rPr>
        <w:t>上</w:t>
      </w:r>
      <w:r>
        <w:rPr>
          <w:rFonts w:ascii="宋体" w:hAnsi="宋体"/>
          <w:kern w:val="0"/>
          <w:sz w:val="24"/>
          <w:highlight w:val="none"/>
        </w:rPr>
        <w:t>公告</w:t>
      </w:r>
      <w:r>
        <w:rPr>
          <w:rFonts w:hint="eastAsia" w:ascii="宋体" w:hAnsi="宋体"/>
          <w:kern w:val="0"/>
          <w:sz w:val="24"/>
          <w:highlight w:val="none"/>
        </w:rPr>
        <w:t>成交结果。</w:t>
      </w:r>
    </w:p>
    <w:p w14:paraId="2842DFB1">
      <w:pPr>
        <w:adjustRightInd w:val="0"/>
        <w:snapToGrid w:val="0"/>
        <w:spacing w:line="360" w:lineRule="auto"/>
        <w:ind w:firstLine="480" w:firstLineChars="200"/>
        <w:rPr>
          <w:rFonts w:ascii="宋体" w:hAnsi="宋体"/>
          <w:kern w:val="0"/>
          <w:sz w:val="24"/>
        </w:rPr>
      </w:pPr>
      <w:r>
        <w:rPr>
          <w:rFonts w:hint="eastAsia" w:ascii="宋体" w:hAnsi="宋体"/>
          <w:kern w:val="0"/>
          <w:sz w:val="24"/>
        </w:rPr>
        <w:t>3.发出成交通知书。</w:t>
      </w:r>
      <w:r>
        <w:rPr>
          <w:rFonts w:hint="eastAsia" w:ascii="宋体" w:hAnsi="宋体"/>
          <w:kern w:val="0"/>
          <w:sz w:val="24"/>
          <w:lang w:eastAsia="zh-CN"/>
        </w:rPr>
        <w:t>采购人</w:t>
      </w:r>
      <w:r>
        <w:rPr>
          <w:rFonts w:hint="eastAsia" w:ascii="宋体" w:hAnsi="宋体"/>
          <w:kern w:val="0"/>
          <w:sz w:val="24"/>
        </w:rPr>
        <w:t>在发布成交结果同时，向成交供应商发出成交通知书。</w:t>
      </w:r>
    </w:p>
    <w:p w14:paraId="4F4A7123">
      <w:pPr>
        <w:pStyle w:val="14"/>
        <w:adjustRightInd w:val="0"/>
        <w:snapToGrid w:val="0"/>
        <w:spacing w:line="360" w:lineRule="auto"/>
        <w:rPr>
          <w:rFonts w:hAnsi="宋体"/>
          <w:b/>
          <w:sz w:val="24"/>
        </w:rPr>
      </w:pPr>
      <w:r>
        <w:rPr>
          <w:rFonts w:hint="eastAsia" w:hAnsi="宋体"/>
          <w:b/>
          <w:sz w:val="24"/>
        </w:rPr>
        <w:t>七、合同签订</w:t>
      </w:r>
    </w:p>
    <w:p w14:paraId="16CA6B97">
      <w:pPr>
        <w:adjustRightInd w:val="0"/>
        <w:snapToGrid w:val="0"/>
        <w:spacing w:line="360" w:lineRule="auto"/>
        <w:ind w:firstLine="480" w:firstLineChars="200"/>
        <w:rPr>
          <w:rFonts w:hAnsi="宋体"/>
          <w:szCs w:val="24"/>
        </w:rPr>
      </w:pPr>
      <w:r>
        <w:rPr>
          <w:rFonts w:hint="eastAsia" w:ascii="宋体" w:hAnsi="宋体"/>
          <w:kern w:val="0"/>
          <w:sz w:val="24"/>
          <w:szCs w:val="24"/>
        </w:rPr>
        <w:t>1.采购人应当自成交通知书发出之日起30日内，按照磋商采购文件确定的合同文本以及采购标的、采购金额、采购数量和服务要求等事项签订采购合同。</w:t>
      </w:r>
    </w:p>
    <w:p w14:paraId="420E8C40">
      <w:pPr>
        <w:pStyle w:val="25"/>
        <w:adjustRightInd w:val="0"/>
        <w:snapToGrid w:val="0"/>
        <w:spacing w:before="0" w:beforeAutospacing="0" w:after="0" w:afterAutospacing="0" w:line="360" w:lineRule="auto"/>
        <w:ind w:firstLine="600" w:firstLineChars="250"/>
        <w:jc w:val="both"/>
        <w:rPr>
          <w:rFonts w:hint="default"/>
          <w:szCs w:val="24"/>
        </w:rPr>
      </w:pPr>
      <w:r>
        <w:rPr>
          <w:szCs w:val="24"/>
        </w:rPr>
        <w:t>2.采购人不得向成交供应商提出超出磋商文件以外的任何要求作为签订合同的条件，不得与成交供应商订立背离磋商文件确定的合同文本以及</w:t>
      </w:r>
      <w:r>
        <w:t>采购标的、规格型号、采购金额、采购数量和服务要求等实质性内容的协议。</w:t>
      </w:r>
    </w:p>
    <w:p w14:paraId="3ECDB50D">
      <w:pPr>
        <w:pStyle w:val="25"/>
        <w:adjustRightInd w:val="0"/>
        <w:snapToGrid w:val="0"/>
        <w:spacing w:before="0" w:beforeAutospacing="0" w:after="0" w:afterAutospacing="0" w:line="360" w:lineRule="auto"/>
        <w:ind w:firstLine="600" w:firstLineChars="250"/>
        <w:jc w:val="both"/>
        <w:rPr>
          <w:rFonts w:hint="default"/>
          <w:szCs w:val="24"/>
        </w:rPr>
      </w:pPr>
      <w:r>
        <w:rPr>
          <w:szCs w:val="24"/>
        </w:rPr>
        <w:t>3.成交供应商无故拖延、拒签合同的,将被取消成交资格。</w:t>
      </w:r>
    </w:p>
    <w:p w14:paraId="508A4122">
      <w:pPr>
        <w:pStyle w:val="25"/>
        <w:adjustRightInd w:val="0"/>
        <w:snapToGrid w:val="0"/>
        <w:spacing w:before="0" w:beforeAutospacing="0" w:after="0" w:afterAutospacing="0" w:line="360" w:lineRule="auto"/>
        <w:ind w:firstLine="600" w:firstLineChars="250"/>
        <w:jc w:val="both"/>
        <w:rPr>
          <w:rFonts w:hint="default"/>
          <w:szCs w:val="24"/>
        </w:rPr>
      </w:pPr>
      <w:r>
        <w:rPr>
          <w:szCs w:val="24"/>
        </w:rPr>
        <w:t>4.成交供应商拒绝与采购人签订合同的，采购人可以按照评审报告推荐的成交候选供应商名单排序，确定下一候选供应商为成交供应商，也可以重新开展采购活动。</w:t>
      </w:r>
    </w:p>
    <w:p w14:paraId="60BF1F56">
      <w:pPr>
        <w:pStyle w:val="25"/>
        <w:adjustRightInd w:val="0"/>
        <w:snapToGrid w:val="0"/>
        <w:spacing w:before="0" w:beforeAutospacing="0" w:after="0" w:afterAutospacing="0" w:line="360" w:lineRule="auto"/>
        <w:ind w:firstLine="600" w:firstLineChars="250"/>
        <w:rPr>
          <w:rFonts w:hint="default"/>
          <w:szCs w:val="24"/>
        </w:rPr>
      </w:pPr>
      <w:r>
        <w:rPr>
          <w:szCs w:val="24"/>
        </w:rPr>
        <w:t>5.询问或者质疑事项可能影响成交结果的，采购人应当暂停签订合同，已经签订合同的，应当中止履行合同（成交结果的质疑期为成交结果公告期限届满之日起七个工作日）。</w:t>
      </w:r>
      <w:r>
        <w:br w:type="page"/>
      </w:r>
    </w:p>
    <w:p w14:paraId="27951C60">
      <w:pPr>
        <w:pStyle w:val="26"/>
        <w:rPr>
          <w:lang w:eastAsia="zh-CN"/>
        </w:rPr>
      </w:pPr>
      <w:r>
        <w:rPr>
          <w:rFonts w:hint="eastAsia"/>
          <w:lang w:eastAsia="zh-CN"/>
        </w:rPr>
        <w:t>第四章</w:t>
      </w:r>
      <w:bookmarkEnd w:id="33"/>
      <w:r>
        <w:rPr>
          <w:rFonts w:hint="eastAsia"/>
          <w:lang w:eastAsia="zh-CN"/>
        </w:rPr>
        <w:t xml:space="preserve"> 评审办法、评分标准</w:t>
      </w:r>
      <w:bookmarkEnd w:id="34"/>
    </w:p>
    <w:p w14:paraId="5C60F740">
      <w:pPr>
        <w:autoSpaceDE w:val="0"/>
        <w:autoSpaceDN w:val="0"/>
        <w:spacing w:line="360" w:lineRule="auto"/>
        <w:ind w:firstLine="482" w:firstLineChars="200"/>
        <w:rPr>
          <w:rFonts w:ascii="宋体" w:hAnsi="宋体"/>
          <w:b/>
          <w:i/>
          <w:kern w:val="0"/>
          <w:sz w:val="24"/>
        </w:rPr>
      </w:pPr>
      <w:r>
        <w:rPr>
          <w:rFonts w:hint="eastAsia" w:ascii="宋体" w:hAnsi="宋体"/>
          <w:b/>
          <w:sz w:val="24"/>
          <w:lang w:bidi="en-US"/>
        </w:rPr>
        <w:t>一、</w:t>
      </w:r>
      <w:r>
        <w:rPr>
          <w:rFonts w:hint="eastAsia" w:ascii="宋体" w:hAnsi="宋体"/>
          <w:b/>
          <w:sz w:val="24"/>
          <w:lang w:eastAsia="zh-CN" w:bidi="en-US"/>
        </w:rPr>
        <w:t>采购人</w:t>
      </w:r>
      <w:r>
        <w:rPr>
          <w:rFonts w:hint="eastAsia" w:ascii="宋体" w:hAnsi="宋体"/>
          <w:b/>
          <w:sz w:val="24"/>
          <w:lang w:bidi="en-US"/>
        </w:rPr>
        <w:t>将组织磋商小组，对供应商提供的磋商响应文件进行综合评审。</w:t>
      </w:r>
    </w:p>
    <w:p w14:paraId="6E86ED84">
      <w:pPr>
        <w:spacing w:line="360" w:lineRule="auto"/>
        <w:ind w:firstLine="482" w:firstLineChars="200"/>
        <w:rPr>
          <w:rFonts w:ascii="宋体" w:hAnsi="宋体"/>
          <w:b/>
          <w:sz w:val="24"/>
          <w:lang w:bidi="en-US"/>
        </w:rPr>
      </w:pPr>
      <w:r>
        <w:rPr>
          <w:rFonts w:hint="eastAsia" w:ascii="宋体" w:hAnsi="宋体"/>
          <w:b/>
          <w:sz w:val="24"/>
          <w:lang w:bidi="en-US"/>
        </w:rPr>
        <w:t>二、本次磋商项目的评审方法为综合评分法，总计100分。</w:t>
      </w:r>
    </w:p>
    <w:p w14:paraId="58E456DB">
      <w:pPr>
        <w:spacing w:line="360" w:lineRule="auto"/>
        <w:ind w:firstLine="480" w:firstLineChars="200"/>
        <w:rPr>
          <w:rFonts w:ascii="宋体" w:hAnsi="宋体"/>
          <w:sz w:val="24"/>
          <w:lang w:bidi="en-US"/>
        </w:rPr>
      </w:pPr>
      <w:r>
        <w:rPr>
          <w:rFonts w:hint="eastAsia" w:ascii="宋体" w:hAnsi="宋体"/>
          <w:sz w:val="24"/>
          <w:lang w:bidi="en-US"/>
        </w:rPr>
        <w:t>（一）磋商小组成员</w:t>
      </w:r>
      <w:r>
        <w:rPr>
          <w:rFonts w:hint="eastAsia" w:ascii="宋体" w:hAnsi="宋体"/>
          <w:kern w:val="0"/>
          <w:sz w:val="24"/>
        </w:rPr>
        <w:t>应独立评审，但评标标准中的客观分应一致，如果出现客观分打分不一致时，采购人可以提示磋商小组复核或书面说明理由。</w:t>
      </w:r>
    </w:p>
    <w:p w14:paraId="57E0FE4F">
      <w:pPr>
        <w:autoSpaceDE w:val="0"/>
        <w:autoSpaceDN w:val="0"/>
        <w:adjustRightInd w:val="0"/>
        <w:spacing w:line="360" w:lineRule="auto"/>
        <w:ind w:right="84" w:firstLine="472"/>
        <w:rPr>
          <w:rFonts w:ascii="宋体" w:hAnsi="宋体"/>
          <w:sz w:val="24"/>
          <w:lang w:bidi="en-US"/>
        </w:rPr>
      </w:pPr>
      <w:r>
        <w:rPr>
          <w:rFonts w:hint="eastAsia" w:ascii="宋体" w:hAnsi="宋体"/>
          <w:sz w:val="24"/>
          <w:lang w:bidi="en-US"/>
        </w:rPr>
        <w:t>（二）各磋商供应商资信与技术文件得分按照磋商小组成员的独立评分结果汇总后的算术平均分计算，计算公式为：</w:t>
      </w:r>
    </w:p>
    <w:p w14:paraId="11B38A30">
      <w:pPr>
        <w:autoSpaceDE w:val="0"/>
        <w:autoSpaceDN w:val="0"/>
        <w:adjustRightInd w:val="0"/>
        <w:spacing w:line="360" w:lineRule="auto"/>
        <w:ind w:right="84" w:firstLine="472"/>
        <w:rPr>
          <w:rFonts w:ascii="宋体" w:hAnsi="宋体"/>
          <w:sz w:val="24"/>
          <w:lang w:bidi="en-US"/>
        </w:rPr>
      </w:pPr>
      <w:r>
        <w:rPr>
          <w:rFonts w:hint="eastAsia" w:ascii="宋体" w:hAnsi="宋体"/>
          <w:sz w:val="24"/>
          <w:lang w:bidi="en-US"/>
        </w:rPr>
        <w:t>资信与技术文件得分=磋商小组所有成员评分合计数/磋商小组成员人数。</w:t>
      </w:r>
    </w:p>
    <w:p w14:paraId="5D65AAC5">
      <w:pPr>
        <w:autoSpaceDE w:val="0"/>
        <w:autoSpaceDN w:val="0"/>
        <w:adjustRightInd w:val="0"/>
        <w:spacing w:line="360" w:lineRule="auto"/>
        <w:ind w:right="85" w:firstLine="480" w:firstLineChars="200"/>
        <w:rPr>
          <w:rFonts w:ascii="宋体" w:hAnsi="宋体"/>
          <w:sz w:val="24"/>
          <w:lang w:bidi="en-US"/>
        </w:rPr>
      </w:pPr>
      <w:r>
        <w:rPr>
          <w:rFonts w:hint="eastAsia" w:ascii="宋体" w:hAnsi="宋体"/>
          <w:sz w:val="24"/>
          <w:lang w:bidi="en-US"/>
        </w:rPr>
        <w:t>（三）最终报价得分采用低价优先法计算，即满足磋商文件要求且最终报价最低的报价为评标基准价，其报价得满分。其他磋商供应商的最终报价得分按下列公式计算：</w:t>
      </w:r>
    </w:p>
    <w:p w14:paraId="6FD21E9E">
      <w:pPr>
        <w:autoSpaceDE w:val="0"/>
        <w:autoSpaceDN w:val="0"/>
        <w:adjustRightInd w:val="0"/>
        <w:spacing w:line="360" w:lineRule="auto"/>
        <w:ind w:right="85" w:firstLine="480" w:firstLineChars="200"/>
        <w:rPr>
          <w:rFonts w:ascii="宋体" w:hAnsi="宋体"/>
          <w:kern w:val="0"/>
          <w:sz w:val="24"/>
        </w:rPr>
      </w:pPr>
      <w:r>
        <w:rPr>
          <w:rFonts w:hint="eastAsia" w:ascii="宋体" w:hAnsi="宋体"/>
          <w:sz w:val="24"/>
          <w:lang w:bidi="en-US"/>
        </w:rPr>
        <w:t>最终报价得</w:t>
      </w:r>
      <w:r>
        <w:rPr>
          <w:rFonts w:ascii="宋体" w:hAnsi="宋体"/>
          <w:sz w:val="24"/>
          <w:lang w:bidi="en-US"/>
        </w:rPr>
        <w:t>分=</w:t>
      </w:r>
      <w:r>
        <w:rPr>
          <w:rFonts w:ascii="宋体" w:hAnsi="宋体"/>
          <w:kern w:val="0"/>
          <w:sz w:val="24"/>
        </w:rPr>
        <w:t xml:space="preserve"> (评标基准价／最终响应报价)×</w:t>
      </w:r>
      <w:r>
        <w:rPr>
          <w:rFonts w:hint="eastAsia" w:ascii="宋体" w:hAnsi="宋体"/>
          <w:kern w:val="0"/>
          <w:sz w:val="24"/>
        </w:rPr>
        <w:t>X%</w:t>
      </w:r>
      <w:r>
        <w:rPr>
          <w:rFonts w:ascii="宋体" w:hAnsi="宋体"/>
          <w:kern w:val="0"/>
          <w:sz w:val="24"/>
        </w:rPr>
        <w:t>×100</w:t>
      </w:r>
      <w:r>
        <w:rPr>
          <w:rFonts w:hint="eastAsia" w:ascii="宋体" w:hAnsi="宋体"/>
          <w:kern w:val="0"/>
          <w:sz w:val="24"/>
        </w:rPr>
        <w:t xml:space="preserve"> 。</w:t>
      </w:r>
      <w:r>
        <w:rPr>
          <w:rFonts w:hint="eastAsia" w:ascii="宋体" w:hAnsi="宋体"/>
          <w:sz w:val="24"/>
          <w:u w:val="single"/>
        </w:rPr>
        <w:t>（得分保留2位小数,小数点后第三位四舍五入）</w:t>
      </w:r>
    </w:p>
    <w:p w14:paraId="5DD309B4">
      <w:pPr>
        <w:autoSpaceDE w:val="0"/>
        <w:autoSpaceDN w:val="0"/>
        <w:adjustRightInd w:val="0"/>
        <w:spacing w:line="360" w:lineRule="auto"/>
        <w:ind w:right="85" w:firstLine="482" w:firstLineChars="200"/>
        <w:rPr>
          <w:rFonts w:hint="eastAsia" w:ascii="宋体" w:hAnsi="宋体"/>
          <w:b/>
          <w:kern w:val="0"/>
          <w:sz w:val="24"/>
        </w:rPr>
      </w:pPr>
      <w:r>
        <w:rPr>
          <w:rFonts w:hint="eastAsia" w:ascii="宋体" w:hAnsi="宋体"/>
          <w:b/>
          <w:kern w:val="0"/>
          <w:sz w:val="24"/>
        </w:rPr>
        <w:t>注：X为价格分值</w:t>
      </w:r>
    </w:p>
    <w:p w14:paraId="0DC9EEB7">
      <w:pPr>
        <w:pStyle w:val="2"/>
        <w:ind w:left="0" w:leftChars="0" w:firstLine="482" w:firstLineChars="200"/>
        <w:jc w:val="left"/>
      </w:pPr>
      <w:r>
        <w:rPr>
          <w:rFonts w:hint="eastAsia" w:hAnsi="宋体"/>
          <w:b/>
          <w:kern w:val="0"/>
          <w:sz w:val="24"/>
          <w:highlight w:val="none"/>
          <w:lang w:eastAsia="zh-CN"/>
        </w:rPr>
        <w:t>经过磋商后会进行二次最终报价。</w:t>
      </w:r>
    </w:p>
    <w:p w14:paraId="18C37EF6">
      <w:pPr>
        <w:autoSpaceDE w:val="0"/>
        <w:autoSpaceDN w:val="0"/>
        <w:adjustRightInd w:val="0"/>
        <w:spacing w:line="360" w:lineRule="auto"/>
        <w:ind w:right="85" w:firstLine="480" w:firstLineChars="200"/>
        <w:rPr>
          <w:rFonts w:ascii="宋体" w:hAnsi="宋体"/>
          <w:sz w:val="24"/>
          <w:lang w:bidi="en-US"/>
        </w:rPr>
      </w:pPr>
      <w:r>
        <w:rPr>
          <w:rFonts w:hint="eastAsia" w:ascii="宋体" w:hAnsi="宋体"/>
          <w:sz w:val="24"/>
          <w:lang w:bidi="en-US"/>
        </w:rPr>
        <w:t>（四）评审总得分=资信与技术文件得分+最终报价得分</w:t>
      </w:r>
    </w:p>
    <w:p w14:paraId="105E5B3E">
      <w:pPr>
        <w:spacing w:line="360" w:lineRule="auto"/>
        <w:ind w:firstLine="482" w:firstLineChars="200"/>
        <w:rPr>
          <w:rFonts w:ascii="宋体" w:hAnsi="宋体"/>
          <w:b/>
          <w:sz w:val="24"/>
          <w:lang w:bidi="en-US"/>
        </w:rPr>
      </w:pPr>
      <w:r>
        <w:rPr>
          <w:rFonts w:hint="eastAsia" w:ascii="宋体" w:hAnsi="宋体"/>
          <w:b/>
          <w:sz w:val="24"/>
          <w:lang w:bidi="en-US"/>
        </w:rPr>
        <w:t>三、合格供应商评分排序方法</w:t>
      </w:r>
    </w:p>
    <w:p w14:paraId="67115BE2">
      <w:pPr>
        <w:spacing w:line="360" w:lineRule="auto"/>
        <w:ind w:firstLine="480" w:firstLineChars="200"/>
        <w:rPr>
          <w:rFonts w:ascii="宋体" w:hAnsi="宋体"/>
          <w:sz w:val="24"/>
          <w:lang w:bidi="en-US"/>
        </w:rPr>
      </w:pPr>
      <w:r>
        <w:rPr>
          <w:rFonts w:hint="eastAsia" w:ascii="宋体" w:hAnsi="宋体"/>
          <w:sz w:val="24"/>
          <w:lang w:bidi="en-US"/>
        </w:rPr>
        <w:t>合格磋商供应商的评审得分为各项目汇总得分，成交候选资格按评审总得分由高到低顺序排列，评审总得分相同的，按最终报价由低到高顺序排列；评审总得分且最终报价相同的，按资信与技术文件得分由高到低顺序排列，如仍相同则抽签确定排列顺序。排名第一的磋商供应商为成交候选人,排名第二的磋商供应商为第一候补成交候选人，排名第三的磋商供应商为第二候补成交候选人。评分过程中采用四舍五入法，并保留小数2位。</w:t>
      </w:r>
    </w:p>
    <w:p w14:paraId="4E7B7182">
      <w:pPr>
        <w:spacing w:line="360" w:lineRule="auto"/>
        <w:ind w:firstLine="482" w:firstLineChars="200"/>
        <w:rPr>
          <w:rFonts w:ascii="宋体" w:hAnsi="宋体"/>
          <w:b/>
          <w:sz w:val="24"/>
          <w:lang w:bidi="en-US"/>
        </w:rPr>
      </w:pPr>
      <w:r>
        <w:rPr>
          <w:rFonts w:ascii="宋体" w:hAnsi="宋体"/>
          <w:b/>
          <w:sz w:val="24"/>
          <w:lang w:bidi="en-US"/>
        </w:rPr>
        <w:t>四、</w:t>
      </w:r>
      <w:r>
        <w:rPr>
          <w:rFonts w:hint="eastAsia" w:ascii="宋体" w:hAnsi="宋体"/>
          <w:b/>
          <w:sz w:val="24"/>
          <w:lang w:bidi="en-US"/>
        </w:rPr>
        <w:t>评分细则如下：</w:t>
      </w:r>
    </w:p>
    <w:p w14:paraId="655912F3">
      <w:pPr>
        <w:pStyle w:val="28"/>
        <w:ind w:firstLine="200"/>
        <w:rPr>
          <w:lang w:bidi="en-US"/>
        </w:rPr>
      </w:pPr>
      <w:r>
        <w:rPr>
          <w:lang w:bidi="en-US"/>
        </w:rPr>
        <w:br w:type="page"/>
      </w:r>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82"/>
        <w:gridCol w:w="514"/>
        <w:gridCol w:w="921"/>
        <w:gridCol w:w="6066"/>
        <w:gridCol w:w="637"/>
      </w:tblGrid>
      <w:tr w14:paraId="5A1192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5" w:hRule="atLeast"/>
          <w:tblHeader/>
          <w:jc w:val="center"/>
        </w:trPr>
        <w:tc>
          <w:tcPr>
            <w:tcW w:w="628" w:type="pct"/>
            <w:gridSpan w:val="2"/>
            <w:tcBorders>
              <w:bottom w:val="single" w:color="auto" w:sz="4" w:space="0"/>
            </w:tcBorders>
            <w:shd w:val="pct20" w:color="auto" w:fill="auto"/>
            <w:vAlign w:val="center"/>
          </w:tcPr>
          <w:p w14:paraId="563ADA79">
            <w:pPr>
              <w:adjustRightInd w:val="0"/>
              <w:snapToGrid w:val="0"/>
              <w:jc w:val="center"/>
              <w:rPr>
                <w:rFonts w:cs="宋体" w:asciiTheme="minorEastAsia" w:hAnsiTheme="minorEastAsia" w:eastAsiaTheme="minorEastAsia"/>
                <w:sz w:val="18"/>
                <w:szCs w:val="18"/>
              </w:rPr>
            </w:pPr>
            <w:r>
              <w:rPr>
                <w:rFonts w:hint="eastAsia" w:cs="宋体" w:asciiTheme="minorEastAsia" w:hAnsiTheme="minorEastAsia" w:eastAsiaTheme="minorEastAsia"/>
                <w:b/>
                <w:sz w:val="18"/>
                <w:szCs w:val="18"/>
              </w:rPr>
              <w:t>分值构成</w:t>
            </w:r>
          </w:p>
        </w:tc>
        <w:tc>
          <w:tcPr>
            <w:tcW w:w="4006" w:type="pct"/>
            <w:gridSpan w:val="2"/>
            <w:tcBorders>
              <w:bottom w:val="single" w:color="auto" w:sz="4" w:space="0"/>
            </w:tcBorders>
            <w:shd w:val="pct20" w:color="auto" w:fill="auto"/>
            <w:vAlign w:val="center"/>
          </w:tcPr>
          <w:p w14:paraId="3ECEFD86">
            <w:pPr>
              <w:adjustRightInd w:val="0"/>
              <w:snapToGrid w:val="0"/>
              <w:jc w:val="center"/>
              <w:rPr>
                <w:rFonts w:cs="宋体" w:asciiTheme="minorEastAsia" w:hAnsiTheme="minorEastAsia" w:eastAsiaTheme="minorEastAsia"/>
                <w:b/>
                <w:sz w:val="18"/>
                <w:szCs w:val="18"/>
              </w:rPr>
            </w:pPr>
            <w:r>
              <w:rPr>
                <w:rFonts w:hint="eastAsia" w:cs="宋体" w:asciiTheme="minorEastAsia" w:hAnsiTheme="minorEastAsia" w:eastAsiaTheme="minorEastAsia"/>
                <w:sz w:val="18"/>
                <w:szCs w:val="18"/>
              </w:rPr>
              <w:t>1.技术部分55分2.商务部分15分3.报价得分30分</w:t>
            </w:r>
          </w:p>
        </w:tc>
        <w:tc>
          <w:tcPr>
            <w:tcW w:w="365" w:type="pct"/>
            <w:vMerge w:val="restart"/>
            <w:shd w:val="pct20" w:color="auto" w:fill="auto"/>
            <w:vAlign w:val="center"/>
          </w:tcPr>
          <w:p w14:paraId="4F82B471">
            <w:pPr>
              <w:adjustRightInd w:val="0"/>
              <w:snapToGrid w:val="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分值</w:t>
            </w:r>
          </w:p>
        </w:tc>
      </w:tr>
      <w:tr w14:paraId="1C94B5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5" w:hRule="atLeast"/>
          <w:tblHeader/>
          <w:jc w:val="center"/>
        </w:trPr>
        <w:tc>
          <w:tcPr>
            <w:tcW w:w="628" w:type="pct"/>
            <w:gridSpan w:val="2"/>
            <w:tcBorders>
              <w:bottom w:val="single" w:color="auto" w:sz="4" w:space="0"/>
            </w:tcBorders>
            <w:shd w:val="pct20" w:color="auto" w:fill="auto"/>
            <w:vAlign w:val="center"/>
          </w:tcPr>
          <w:p w14:paraId="5351055C">
            <w:pPr>
              <w:widowControl/>
              <w:adjustRightInd w:val="0"/>
              <w:snapToGrid w:val="0"/>
              <w:jc w:val="center"/>
              <w:rPr>
                <w:rFonts w:asciiTheme="minorEastAsia" w:hAnsiTheme="minorEastAsia" w:eastAsiaTheme="minorEastAsia" w:cstheme="minorEastAsia"/>
                <w:b/>
                <w:bCs/>
                <w:sz w:val="18"/>
                <w:szCs w:val="18"/>
              </w:rPr>
            </w:pPr>
            <w:r>
              <w:rPr>
                <w:rFonts w:hint="eastAsia" w:cs="宋体" w:asciiTheme="minorEastAsia" w:hAnsiTheme="minorEastAsia" w:eastAsiaTheme="minorEastAsia"/>
                <w:b/>
                <w:sz w:val="18"/>
                <w:szCs w:val="18"/>
              </w:rPr>
              <w:t>评分项目</w:t>
            </w:r>
          </w:p>
        </w:tc>
        <w:tc>
          <w:tcPr>
            <w:tcW w:w="4006" w:type="pct"/>
            <w:gridSpan w:val="2"/>
            <w:tcBorders>
              <w:bottom w:val="single" w:color="auto" w:sz="4" w:space="0"/>
            </w:tcBorders>
            <w:shd w:val="pct20" w:color="auto" w:fill="auto"/>
            <w:vAlign w:val="center"/>
          </w:tcPr>
          <w:p w14:paraId="3A3A6FE8">
            <w:pPr>
              <w:widowControl/>
              <w:adjustRightInd w:val="0"/>
              <w:snapToGrid w:val="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评分细则</w:t>
            </w:r>
          </w:p>
        </w:tc>
        <w:tc>
          <w:tcPr>
            <w:tcW w:w="365" w:type="pct"/>
            <w:vMerge w:val="continue"/>
            <w:tcBorders>
              <w:bottom w:val="single" w:color="auto" w:sz="4" w:space="0"/>
            </w:tcBorders>
            <w:shd w:val="pct20" w:color="auto" w:fill="auto"/>
            <w:vAlign w:val="center"/>
          </w:tcPr>
          <w:p w14:paraId="6496B33A">
            <w:pPr>
              <w:widowControl/>
              <w:adjustRightInd w:val="0"/>
              <w:snapToGrid w:val="0"/>
              <w:jc w:val="center"/>
              <w:rPr>
                <w:rFonts w:asciiTheme="minorEastAsia" w:hAnsiTheme="minorEastAsia" w:eastAsiaTheme="minorEastAsia" w:cstheme="minorEastAsia"/>
                <w:b/>
                <w:bCs/>
                <w:sz w:val="18"/>
                <w:szCs w:val="18"/>
              </w:rPr>
            </w:pPr>
          </w:p>
        </w:tc>
      </w:tr>
      <w:tr w14:paraId="207755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2" w:hRule="atLeast"/>
          <w:jc w:val="center"/>
        </w:trPr>
        <w:tc>
          <w:tcPr>
            <w:tcW w:w="334" w:type="pct"/>
            <w:vMerge w:val="restart"/>
            <w:vAlign w:val="center"/>
          </w:tcPr>
          <w:p w14:paraId="7B156089">
            <w:pPr>
              <w:adjustRightInd w:val="0"/>
              <w:snapToGrid w:val="0"/>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技术部分</w:t>
            </w:r>
          </w:p>
        </w:tc>
        <w:tc>
          <w:tcPr>
            <w:tcW w:w="295" w:type="pct"/>
            <w:vAlign w:val="center"/>
          </w:tcPr>
          <w:p w14:paraId="5CA38F22">
            <w:pPr>
              <w:pStyle w:val="13"/>
              <w:adjustRightInd w:val="0"/>
              <w:snapToGrid w:val="0"/>
              <w:spacing w:after="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1</w:t>
            </w:r>
          </w:p>
        </w:tc>
        <w:tc>
          <w:tcPr>
            <w:tcW w:w="528" w:type="pct"/>
            <w:tcBorders>
              <w:right w:val="single" w:color="auto" w:sz="4" w:space="0"/>
            </w:tcBorders>
            <w:vAlign w:val="center"/>
          </w:tcPr>
          <w:p w14:paraId="6121EC6D">
            <w:pPr>
              <w:tabs>
                <w:tab w:val="left" w:pos="9751"/>
              </w:tabs>
              <w:adjustRightInd w:val="0"/>
              <w:snapToGrid w:val="0"/>
              <w:jc w:val="left"/>
              <w:rPr>
                <w:rFonts w:asciiTheme="minorEastAsia" w:hAnsiTheme="minorEastAsia" w:eastAsiaTheme="minorEastAsia" w:cstheme="minorEastAsia"/>
                <w:b/>
                <w:bCs/>
                <w:sz w:val="18"/>
                <w:szCs w:val="18"/>
              </w:rPr>
            </w:pPr>
            <w:r>
              <w:rPr>
                <w:rFonts w:asciiTheme="minorEastAsia" w:hAnsiTheme="minorEastAsia" w:eastAsiaTheme="minorEastAsia" w:cstheme="minorEastAsia"/>
                <w:b/>
                <w:bCs/>
                <w:sz w:val="18"/>
                <w:szCs w:val="18"/>
              </w:rPr>
              <w:t>服务方案、内部管理制度</w:t>
            </w:r>
          </w:p>
        </w:tc>
        <w:tc>
          <w:tcPr>
            <w:tcW w:w="3478" w:type="pct"/>
            <w:tcBorders>
              <w:left w:val="single" w:color="auto" w:sz="4" w:space="0"/>
            </w:tcBorders>
            <w:vAlign w:val="center"/>
          </w:tcPr>
          <w:p w14:paraId="394A4279">
            <w:pPr>
              <w:adjustRightInd w:val="0"/>
              <w:snapToGrid w:val="0"/>
              <w:rPr>
                <w:rFonts w:asciiTheme="minorEastAsia" w:hAnsiTheme="minorEastAsia" w:eastAsiaTheme="minorEastAsia" w:cstheme="minorEastAsia"/>
                <w:sz w:val="18"/>
                <w:szCs w:val="18"/>
              </w:rPr>
            </w:pPr>
            <w:r>
              <w:rPr>
                <w:rFonts w:hint="eastAsia" w:cs="宋体" w:asciiTheme="minorEastAsia" w:hAnsiTheme="minorEastAsia" w:eastAsiaTheme="minorEastAsia"/>
                <w:b/>
                <w:kern w:val="0"/>
                <w:sz w:val="18"/>
                <w:szCs w:val="18"/>
              </w:rPr>
              <w:t>（专家打分）</w:t>
            </w:r>
            <w:r>
              <w:rPr>
                <w:rFonts w:hint="eastAsia" w:asciiTheme="minorEastAsia" w:hAnsiTheme="minorEastAsia" w:eastAsiaTheme="minorEastAsia" w:cstheme="minorEastAsia"/>
                <w:sz w:val="18"/>
                <w:szCs w:val="18"/>
              </w:rPr>
              <w:t>根据供应商的保证质量的服务方案和措施、内部管理制度，针对本项目制定了具体的质量管理细则的，项目管理事项明确，严格执行企业管理规范等方面进行综合评分：</w:t>
            </w:r>
          </w:p>
          <w:p w14:paraId="63B159A5">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①服务方案、措施、内部管理制度等规范成熟、有效、严密，完善的得</w:t>
            </w:r>
            <w:r>
              <w:rPr>
                <w:rFonts w:asciiTheme="minorEastAsia" w:hAnsiTheme="minorEastAsia" w:eastAsiaTheme="minorEastAsia" w:cstheme="minorEastAsia"/>
                <w:sz w:val="18"/>
                <w:szCs w:val="18"/>
              </w:rPr>
              <w:t>7</w:t>
            </w:r>
            <w:r>
              <w:rPr>
                <w:rFonts w:hint="eastAsia" w:asciiTheme="minorEastAsia" w:hAnsiTheme="minorEastAsia" w:eastAsiaTheme="minorEastAsia" w:cstheme="minorEastAsia"/>
                <w:sz w:val="18"/>
                <w:szCs w:val="18"/>
              </w:rPr>
              <w:t>.0</w:t>
            </w:r>
            <w:r>
              <w:rPr>
                <w:rFonts w:asciiTheme="minorEastAsia" w:hAnsiTheme="minorEastAsia" w:eastAsiaTheme="minorEastAsia" w:cstheme="minorEastAsia"/>
                <w:sz w:val="18"/>
                <w:szCs w:val="18"/>
              </w:rPr>
              <w:t>-10</w:t>
            </w:r>
            <w:r>
              <w:rPr>
                <w:rFonts w:hint="eastAsia" w:asciiTheme="minorEastAsia" w:hAnsiTheme="minorEastAsia" w:eastAsiaTheme="minorEastAsia" w:cstheme="minorEastAsia"/>
                <w:sz w:val="18"/>
                <w:szCs w:val="18"/>
              </w:rPr>
              <w:t>.0分；</w:t>
            </w:r>
          </w:p>
          <w:p w14:paraId="264AA7F8">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②服务方案、措施、内部管理制度等规范基本满足磋商文件要求得</w:t>
            </w:r>
            <w:r>
              <w:rPr>
                <w:rFonts w:asciiTheme="minorEastAsia" w:hAnsiTheme="minorEastAsia" w:eastAsiaTheme="minorEastAsia" w:cstheme="minorEastAsia"/>
                <w:sz w:val="18"/>
                <w:szCs w:val="18"/>
              </w:rPr>
              <w:t>4</w:t>
            </w:r>
            <w:r>
              <w:rPr>
                <w:rFonts w:hint="eastAsia" w:asciiTheme="minorEastAsia" w:hAnsiTheme="minorEastAsia" w:eastAsiaTheme="minorEastAsia" w:cstheme="minorEastAsia"/>
                <w:sz w:val="18"/>
                <w:szCs w:val="18"/>
              </w:rPr>
              <w:t>.0</w:t>
            </w:r>
            <w:r>
              <w:rPr>
                <w:rFonts w:asciiTheme="minorEastAsia" w:hAnsiTheme="minorEastAsia" w:eastAsiaTheme="minorEastAsia" w:cstheme="minorEastAsia"/>
                <w:sz w:val="18"/>
                <w:szCs w:val="18"/>
              </w:rPr>
              <w:t>-6.9</w:t>
            </w:r>
            <w:r>
              <w:rPr>
                <w:rFonts w:hint="eastAsia" w:asciiTheme="minorEastAsia" w:hAnsiTheme="minorEastAsia" w:eastAsiaTheme="minorEastAsia" w:cstheme="minorEastAsia"/>
                <w:sz w:val="18"/>
                <w:szCs w:val="18"/>
              </w:rPr>
              <w:t>分；</w:t>
            </w:r>
          </w:p>
          <w:p w14:paraId="3FF7DFA9">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③服务方案、措施、内部管理制度等规范存在欠缺，或内容敷衍的得1.0</w:t>
            </w:r>
            <w:r>
              <w:rPr>
                <w:rFonts w:asciiTheme="minorEastAsia" w:hAnsiTheme="minorEastAsia" w:eastAsiaTheme="minorEastAsia" w:cstheme="minorEastAsia"/>
                <w:sz w:val="18"/>
                <w:szCs w:val="18"/>
              </w:rPr>
              <w:t>-3.9</w:t>
            </w:r>
            <w:r>
              <w:rPr>
                <w:rFonts w:hint="eastAsia" w:asciiTheme="minorEastAsia" w:hAnsiTheme="minorEastAsia" w:eastAsiaTheme="minorEastAsia" w:cstheme="minorEastAsia"/>
                <w:sz w:val="18"/>
                <w:szCs w:val="18"/>
              </w:rPr>
              <w:t>分。</w:t>
            </w:r>
          </w:p>
          <w:p w14:paraId="2DC9D562">
            <w:pPr>
              <w:adjustRightInd w:val="0"/>
              <w:snapToGrid w:val="0"/>
              <w:rPr>
                <w:rFonts w:asciiTheme="minorEastAsia" w:hAnsiTheme="minorEastAsia" w:eastAsiaTheme="minorEastAsia"/>
                <w:b/>
                <w:sz w:val="18"/>
                <w:szCs w:val="18"/>
              </w:rPr>
            </w:pPr>
            <w:r>
              <w:rPr>
                <w:rFonts w:hint="eastAsia" w:asciiTheme="minorEastAsia" w:hAnsiTheme="minorEastAsia" w:eastAsiaTheme="minorEastAsia" w:cstheme="minorEastAsia"/>
                <w:b/>
                <w:sz w:val="18"/>
                <w:szCs w:val="18"/>
              </w:rPr>
              <w:t>注：响应文件无相关内容不得分。</w:t>
            </w:r>
          </w:p>
        </w:tc>
        <w:tc>
          <w:tcPr>
            <w:tcW w:w="365" w:type="pct"/>
            <w:vAlign w:val="center"/>
          </w:tcPr>
          <w:p w14:paraId="270E2DFE">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0-10</w:t>
            </w:r>
          </w:p>
        </w:tc>
      </w:tr>
      <w:tr w14:paraId="405ACF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334" w:type="pct"/>
            <w:vMerge w:val="continue"/>
            <w:vAlign w:val="center"/>
          </w:tcPr>
          <w:p w14:paraId="581044C5">
            <w:pPr>
              <w:adjustRightInd w:val="0"/>
              <w:snapToGrid w:val="0"/>
              <w:jc w:val="center"/>
              <w:rPr>
                <w:rFonts w:asciiTheme="minorEastAsia" w:hAnsiTheme="minorEastAsia" w:eastAsiaTheme="minorEastAsia" w:cstheme="minorEastAsia"/>
                <w:b/>
                <w:bCs/>
                <w:sz w:val="18"/>
                <w:szCs w:val="18"/>
              </w:rPr>
            </w:pPr>
          </w:p>
        </w:tc>
        <w:tc>
          <w:tcPr>
            <w:tcW w:w="295" w:type="pct"/>
            <w:vAlign w:val="center"/>
          </w:tcPr>
          <w:p w14:paraId="44FDB507">
            <w:pPr>
              <w:pStyle w:val="13"/>
              <w:adjustRightInd w:val="0"/>
              <w:snapToGrid w:val="0"/>
              <w:spacing w:after="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2</w:t>
            </w:r>
          </w:p>
        </w:tc>
        <w:tc>
          <w:tcPr>
            <w:tcW w:w="528" w:type="pct"/>
            <w:tcBorders>
              <w:right w:val="single" w:color="auto" w:sz="4" w:space="0"/>
            </w:tcBorders>
            <w:vAlign w:val="center"/>
          </w:tcPr>
          <w:p w14:paraId="79C5A405">
            <w:pPr>
              <w:tabs>
                <w:tab w:val="left" w:pos="9751"/>
              </w:tabs>
              <w:adjustRightInd w:val="0"/>
              <w:snapToGrid w:val="0"/>
              <w:jc w:val="left"/>
              <w:rPr>
                <w:rFonts w:cs="宋体" w:asciiTheme="minorEastAsia" w:hAnsiTheme="minorEastAsia" w:eastAsiaTheme="minorEastAsia"/>
                <w:b/>
                <w:kern w:val="0"/>
                <w:sz w:val="18"/>
                <w:szCs w:val="18"/>
              </w:rPr>
            </w:pPr>
            <w:r>
              <w:rPr>
                <w:rFonts w:cs="宋体" w:asciiTheme="minorEastAsia" w:hAnsiTheme="minorEastAsia" w:eastAsiaTheme="minorEastAsia"/>
                <w:b/>
                <w:kern w:val="0"/>
                <w:sz w:val="18"/>
                <w:szCs w:val="18"/>
              </w:rPr>
              <w:t>材料质量</w:t>
            </w:r>
          </w:p>
        </w:tc>
        <w:tc>
          <w:tcPr>
            <w:tcW w:w="3478" w:type="pct"/>
            <w:tcBorders>
              <w:left w:val="single" w:color="auto" w:sz="4" w:space="0"/>
            </w:tcBorders>
            <w:vAlign w:val="center"/>
          </w:tcPr>
          <w:p w14:paraId="3006D647">
            <w:pPr>
              <w:adjustRightInd w:val="0"/>
              <w:snapToGrid w:val="0"/>
              <w:rPr>
                <w:rFonts w:asciiTheme="minorEastAsia" w:hAnsiTheme="minorEastAsia" w:eastAsiaTheme="minorEastAsia" w:cstheme="minorEastAsia"/>
                <w:sz w:val="18"/>
                <w:szCs w:val="18"/>
              </w:rPr>
            </w:pPr>
            <w:r>
              <w:rPr>
                <w:rFonts w:hint="eastAsia" w:cs="宋体" w:asciiTheme="minorEastAsia" w:hAnsiTheme="minorEastAsia" w:eastAsiaTheme="minorEastAsia"/>
                <w:b/>
                <w:kern w:val="0"/>
                <w:sz w:val="18"/>
                <w:szCs w:val="18"/>
              </w:rPr>
              <w:t>（专家打分）</w:t>
            </w:r>
            <w:r>
              <w:rPr>
                <w:rFonts w:hint="eastAsia" w:asciiTheme="minorEastAsia" w:hAnsiTheme="minorEastAsia" w:eastAsiaTheme="minorEastAsia" w:cstheme="minorEastAsia"/>
                <w:sz w:val="18"/>
                <w:szCs w:val="18"/>
              </w:rPr>
              <w:t>根据供应商承诺投入本项目使用原材料的品牌、规格、参数等方面进行综合评分：</w:t>
            </w:r>
          </w:p>
          <w:p w14:paraId="267AEDB0">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①提供的材料清单全面，符合磋商文件要求且材料质量综合体现较优异的，得7.0</w:t>
            </w:r>
            <w:r>
              <w:rPr>
                <w:rFonts w:asciiTheme="minorEastAsia" w:hAnsiTheme="minorEastAsia" w:eastAsiaTheme="minorEastAsia" w:cstheme="minorEastAsia"/>
                <w:sz w:val="18"/>
                <w:szCs w:val="18"/>
              </w:rPr>
              <w:t>-</w:t>
            </w:r>
            <w:r>
              <w:rPr>
                <w:rFonts w:hint="eastAsia" w:asciiTheme="minorEastAsia" w:hAnsiTheme="minorEastAsia" w:eastAsiaTheme="minorEastAsia" w:cstheme="minorEastAsia"/>
                <w:sz w:val="18"/>
                <w:szCs w:val="18"/>
              </w:rPr>
              <w:t>10.0</w:t>
            </w:r>
            <w:r>
              <w:rPr>
                <w:rFonts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18"/>
                <w:szCs w:val="18"/>
              </w:rPr>
              <w:t>分；</w:t>
            </w:r>
          </w:p>
          <w:p w14:paraId="68582052">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②提供的材料清单基本完全符合磋商文件要求，材料质量较好的，得4.0</w:t>
            </w:r>
            <w:r>
              <w:rPr>
                <w:rFonts w:asciiTheme="minorEastAsia" w:hAnsiTheme="minorEastAsia" w:eastAsiaTheme="minorEastAsia" w:cstheme="minorEastAsia"/>
                <w:sz w:val="18"/>
                <w:szCs w:val="18"/>
              </w:rPr>
              <w:t>-</w:t>
            </w:r>
            <w:r>
              <w:rPr>
                <w:rFonts w:hint="eastAsia" w:asciiTheme="minorEastAsia" w:hAnsiTheme="minorEastAsia" w:eastAsiaTheme="minorEastAsia" w:cstheme="minorEastAsia"/>
                <w:sz w:val="18"/>
                <w:szCs w:val="18"/>
              </w:rPr>
              <w:t>6</w:t>
            </w:r>
            <w:r>
              <w:rPr>
                <w:rFonts w:asciiTheme="minorEastAsia" w:hAnsiTheme="minorEastAsia" w:eastAsiaTheme="minorEastAsia" w:cstheme="minorEastAsia"/>
                <w:sz w:val="18"/>
                <w:szCs w:val="18"/>
              </w:rPr>
              <w:t xml:space="preserve">.9 </w:t>
            </w:r>
            <w:r>
              <w:rPr>
                <w:rFonts w:hint="eastAsia" w:asciiTheme="minorEastAsia" w:hAnsiTheme="minorEastAsia" w:eastAsiaTheme="minorEastAsia" w:cstheme="minorEastAsia"/>
                <w:sz w:val="18"/>
                <w:szCs w:val="18"/>
              </w:rPr>
              <w:t>分；</w:t>
            </w:r>
          </w:p>
          <w:p w14:paraId="02D21CEF">
            <w:pPr>
              <w:adjustRightInd w:val="0"/>
              <w:snapToGrid w:val="0"/>
              <w:rPr>
                <w:rFonts w:asciiTheme="minorEastAsia" w:hAnsiTheme="minorEastAsia" w:eastAsiaTheme="minorEastAsia"/>
                <w:b/>
                <w:sz w:val="18"/>
                <w:szCs w:val="18"/>
              </w:rPr>
            </w:pPr>
            <w:r>
              <w:rPr>
                <w:rFonts w:hint="eastAsia" w:asciiTheme="minorEastAsia" w:hAnsiTheme="minorEastAsia" w:eastAsiaTheme="minorEastAsia" w:cstheme="minorEastAsia"/>
                <w:sz w:val="18"/>
                <w:szCs w:val="18"/>
              </w:rPr>
              <w:t>③提供的材料清单不全，不能完全符合磋商文件要求的，得1.</w:t>
            </w:r>
            <w:r>
              <w:rPr>
                <w:rFonts w:asciiTheme="minorEastAsia" w:hAnsiTheme="minorEastAsia" w:eastAsiaTheme="minorEastAsia" w:cstheme="minorEastAsia"/>
                <w:sz w:val="18"/>
                <w:szCs w:val="18"/>
              </w:rPr>
              <w:t>0-</w:t>
            </w:r>
            <w:r>
              <w:rPr>
                <w:rFonts w:hint="eastAsia" w:asciiTheme="minorEastAsia" w:hAnsiTheme="minorEastAsia" w:eastAsiaTheme="minorEastAsia" w:cstheme="minorEastAsia"/>
                <w:sz w:val="18"/>
                <w:szCs w:val="18"/>
              </w:rPr>
              <w:t>3</w:t>
            </w:r>
            <w:r>
              <w:rPr>
                <w:rFonts w:asciiTheme="minorEastAsia" w:hAnsiTheme="minorEastAsia" w:eastAsiaTheme="minorEastAsia" w:cstheme="minorEastAsia"/>
                <w:sz w:val="18"/>
                <w:szCs w:val="18"/>
              </w:rPr>
              <w:t xml:space="preserve">.9 </w:t>
            </w:r>
            <w:r>
              <w:rPr>
                <w:rFonts w:hint="eastAsia" w:asciiTheme="minorEastAsia" w:hAnsiTheme="minorEastAsia" w:eastAsiaTheme="minorEastAsia" w:cstheme="minorEastAsia"/>
                <w:sz w:val="18"/>
                <w:szCs w:val="18"/>
              </w:rPr>
              <w:t>分。</w:t>
            </w:r>
            <w:r>
              <w:rPr>
                <w:rFonts w:hint="eastAsia" w:asciiTheme="minorEastAsia" w:hAnsiTheme="minorEastAsia" w:eastAsiaTheme="minorEastAsia" w:cstheme="minorEastAsia"/>
                <w:b/>
                <w:sz w:val="18"/>
                <w:szCs w:val="18"/>
              </w:rPr>
              <w:t>注：响应文件无相关内容不得分。</w:t>
            </w:r>
          </w:p>
        </w:tc>
        <w:tc>
          <w:tcPr>
            <w:tcW w:w="365" w:type="pct"/>
            <w:vAlign w:val="center"/>
          </w:tcPr>
          <w:p w14:paraId="6F5896F2">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0-10</w:t>
            </w:r>
          </w:p>
        </w:tc>
      </w:tr>
      <w:tr w14:paraId="1605B2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334" w:type="pct"/>
            <w:vMerge w:val="continue"/>
            <w:vAlign w:val="center"/>
          </w:tcPr>
          <w:p w14:paraId="335C4A95">
            <w:pPr>
              <w:adjustRightInd w:val="0"/>
              <w:snapToGrid w:val="0"/>
              <w:jc w:val="center"/>
              <w:rPr>
                <w:rFonts w:asciiTheme="minorEastAsia" w:hAnsiTheme="minorEastAsia" w:eastAsiaTheme="minorEastAsia" w:cstheme="minorEastAsia"/>
                <w:b/>
                <w:bCs/>
                <w:sz w:val="18"/>
                <w:szCs w:val="18"/>
              </w:rPr>
            </w:pPr>
          </w:p>
        </w:tc>
        <w:tc>
          <w:tcPr>
            <w:tcW w:w="295" w:type="pct"/>
            <w:vAlign w:val="center"/>
          </w:tcPr>
          <w:p w14:paraId="52C5CECB">
            <w:pPr>
              <w:pStyle w:val="13"/>
              <w:adjustRightInd w:val="0"/>
              <w:snapToGrid w:val="0"/>
              <w:spacing w:after="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3</w:t>
            </w:r>
          </w:p>
        </w:tc>
        <w:tc>
          <w:tcPr>
            <w:tcW w:w="528" w:type="pct"/>
            <w:tcBorders>
              <w:right w:val="single" w:color="auto" w:sz="4" w:space="0"/>
            </w:tcBorders>
            <w:vAlign w:val="center"/>
          </w:tcPr>
          <w:p w14:paraId="1C7EAE32">
            <w:pPr>
              <w:tabs>
                <w:tab w:val="left" w:pos="9751"/>
              </w:tabs>
              <w:adjustRightInd w:val="0"/>
              <w:snapToGrid w:val="0"/>
              <w:jc w:val="left"/>
              <w:rPr>
                <w:rFonts w:cs="宋体" w:asciiTheme="minorEastAsia" w:hAnsiTheme="minorEastAsia" w:eastAsiaTheme="minorEastAsia"/>
                <w:sz w:val="18"/>
                <w:szCs w:val="18"/>
              </w:rPr>
            </w:pPr>
            <w:r>
              <w:rPr>
                <w:rFonts w:cs="宋体" w:asciiTheme="minorEastAsia" w:hAnsiTheme="minorEastAsia" w:eastAsiaTheme="minorEastAsia"/>
                <w:b/>
                <w:kern w:val="0"/>
                <w:sz w:val="18"/>
                <w:szCs w:val="18"/>
              </w:rPr>
              <w:t>人员配置</w:t>
            </w:r>
          </w:p>
        </w:tc>
        <w:tc>
          <w:tcPr>
            <w:tcW w:w="3478" w:type="pct"/>
            <w:tcBorders>
              <w:left w:val="single" w:color="auto" w:sz="4" w:space="0"/>
            </w:tcBorders>
            <w:vAlign w:val="center"/>
          </w:tcPr>
          <w:p w14:paraId="1D6363DC">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b/>
                <w:kern w:val="0"/>
                <w:sz w:val="18"/>
                <w:szCs w:val="18"/>
              </w:rPr>
              <w:t>（专家打分）</w:t>
            </w:r>
            <w:r>
              <w:rPr>
                <w:rFonts w:hint="eastAsia" w:cs="宋体" w:asciiTheme="minorEastAsia" w:hAnsiTheme="minorEastAsia" w:eastAsiaTheme="minorEastAsia"/>
                <w:kern w:val="0"/>
                <w:sz w:val="18"/>
                <w:szCs w:val="18"/>
              </w:rPr>
              <w:t>根据供应商拟投入本项目工作人员的综合实力（主要包括工作经验、学历、人员数量、人员证书、岗位设置以及能熟练使用各项相关设计软件）进行综合评分：</w:t>
            </w:r>
          </w:p>
          <w:p w14:paraId="1F1AAD27">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①拟投入本项目配备人员的工作经验丰富、岗位设置合理，能熟练使用各</w:t>
            </w:r>
          </w:p>
          <w:p w14:paraId="1F9B65B3">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项相关设计软件的，得</w:t>
            </w:r>
            <w:r>
              <w:rPr>
                <w:rFonts w:cs="宋体" w:asciiTheme="minorEastAsia" w:hAnsiTheme="minorEastAsia" w:eastAsiaTheme="minorEastAsia"/>
                <w:kern w:val="0"/>
                <w:sz w:val="18"/>
                <w:szCs w:val="18"/>
              </w:rPr>
              <w:t>7</w:t>
            </w:r>
            <w:r>
              <w:rPr>
                <w:rFonts w:hint="eastAsia" w:cs="宋体" w:asciiTheme="minorEastAsia" w:hAnsiTheme="minorEastAsia" w:eastAsiaTheme="minorEastAsia"/>
                <w:kern w:val="0"/>
                <w:sz w:val="18"/>
                <w:szCs w:val="18"/>
              </w:rPr>
              <w:t>.0</w:t>
            </w:r>
            <w:r>
              <w:rPr>
                <w:rFonts w:cs="宋体" w:asciiTheme="minorEastAsia" w:hAnsiTheme="minorEastAsia" w:eastAsiaTheme="minorEastAsia"/>
                <w:kern w:val="0"/>
                <w:sz w:val="18"/>
                <w:szCs w:val="18"/>
              </w:rPr>
              <w:t>-10</w:t>
            </w:r>
            <w:r>
              <w:rPr>
                <w:rFonts w:hint="eastAsia" w:cs="宋体" w:asciiTheme="minorEastAsia" w:hAnsiTheme="minorEastAsia" w:eastAsiaTheme="minorEastAsia"/>
                <w:kern w:val="0"/>
                <w:sz w:val="18"/>
                <w:szCs w:val="18"/>
              </w:rPr>
              <w:t>.0分；</w:t>
            </w:r>
          </w:p>
          <w:p w14:paraId="642C4F85">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②拟投入本项目配备人员的工作经验丰富、岗位设置不够合理，不能完全</w:t>
            </w:r>
          </w:p>
          <w:p w14:paraId="3CF9427B">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熟练使用各项相关设计软件的，得</w:t>
            </w:r>
            <w:r>
              <w:rPr>
                <w:rFonts w:cs="宋体" w:asciiTheme="minorEastAsia" w:hAnsiTheme="minorEastAsia" w:eastAsiaTheme="minorEastAsia"/>
                <w:kern w:val="0"/>
                <w:sz w:val="18"/>
                <w:szCs w:val="18"/>
              </w:rPr>
              <w:t>4</w:t>
            </w:r>
            <w:r>
              <w:rPr>
                <w:rFonts w:hint="eastAsia" w:cs="宋体" w:asciiTheme="minorEastAsia" w:hAnsiTheme="minorEastAsia" w:eastAsiaTheme="minorEastAsia"/>
                <w:kern w:val="0"/>
                <w:sz w:val="18"/>
                <w:szCs w:val="18"/>
              </w:rPr>
              <w:t>.0</w:t>
            </w:r>
            <w:r>
              <w:rPr>
                <w:rFonts w:cs="宋体" w:asciiTheme="minorEastAsia" w:hAnsiTheme="minorEastAsia" w:eastAsiaTheme="minorEastAsia"/>
                <w:kern w:val="0"/>
                <w:sz w:val="18"/>
                <w:szCs w:val="18"/>
              </w:rPr>
              <w:t xml:space="preserve">-6.9 </w:t>
            </w:r>
            <w:r>
              <w:rPr>
                <w:rFonts w:hint="eastAsia" w:cs="宋体" w:asciiTheme="minorEastAsia" w:hAnsiTheme="minorEastAsia" w:eastAsiaTheme="minorEastAsia"/>
                <w:kern w:val="0"/>
                <w:sz w:val="18"/>
                <w:szCs w:val="18"/>
              </w:rPr>
              <w:t>分；</w:t>
            </w:r>
          </w:p>
          <w:p w14:paraId="6B1AD035">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③拟投入本项目配备人员的工作经验少、岗位设置不够合理，不能熟练使</w:t>
            </w:r>
          </w:p>
          <w:p w14:paraId="2D1E3FB2">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用各项相关设计软件的，得1.</w:t>
            </w:r>
            <w:r>
              <w:rPr>
                <w:rFonts w:cs="宋体" w:asciiTheme="minorEastAsia" w:hAnsiTheme="minorEastAsia" w:eastAsiaTheme="minorEastAsia"/>
                <w:kern w:val="0"/>
                <w:sz w:val="18"/>
                <w:szCs w:val="18"/>
              </w:rPr>
              <w:t xml:space="preserve">0-3.9 </w:t>
            </w:r>
            <w:r>
              <w:rPr>
                <w:rFonts w:hint="eastAsia" w:cs="宋体" w:asciiTheme="minorEastAsia" w:hAnsiTheme="minorEastAsia" w:eastAsiaTheme="minorEastAsia"/>
                <w:kern w:val="0"/>
                <w:sz w:val="18"/>
                <w:szCs w:val="18"/>
              </w:rPr>
              <w:t>分；</w:t>
            </w:r>
          </w:p>
          <w:p w14:paraId="517577AD">
            <w:pPr>
              <w:autoSpaceDE w:val="0"/>
              <w:autoSpaceDN w:val="0"/>
              <w:adjustRightInd w:val="0"/>
              <w:snapToGrid w:val="0"/>
              <w:jc w:val="left"/>
              <w:rPr>
                <w:rFonts w:cs="宋体" w:asciiTheme="minorEastAsia" w:hAnsiTheme="minorEastAsia" w:eastAsiaTheme="minorEastAsia"/>
                <w:b/>
                <w:kern w:val="0"/>
                <w:sz w:val="18"/>
                <w:szCs w:val="18"/>
              </w:rPr>
            </w:pPr>
            <w:r>
              <w:rPr>
                <w:rFonts w:hint="eastAsia" w:cs="宋体" w:asciiTheme="minorEastAsia" w:hAnsiTheme="minorEastAsia" w:eastAsiaTheme="minorEastAsia"/>
                <w:b/>
                <w:kern w:val="0"/>
                <w:sz w:val="18"/>
                <w:szCs w:val="18"/>
              </w:rPr>
              <w:t>注：响应文件中提供体现相关人员能力的相关证明材料及最近六个月内连续三个月在供应商缴纳社保证明，否则不得分。</w:t>
            </w:r>
          </w:p>
        </w:tc>
        <w:tc>
          <w:tcPr>
            <w:tcW w:w="365" w:type="pct"/>
            <w:vAlign w:val="center"/>
          </w:tcPr>
          <w:p w14:paraId="2CD8ADD9">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0-10</w:t>
            </w:r>
          </w:p>
        </w:tc>
      </w:tr>
      <w:tr w14:paraId="75A742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334" w:type="pct"/>
            <w:vMerge w:val="continue"/>
            <w:vAlign w:val="center"/>
          </w:tcPr>
          <w:p w14:paraId="1EBCD0D5">
            <w:pPr>
              <w:adjustRightInd w:val="0"/>
              <w:snapToGrid w:val="0"/>
              <w:jc w:val="center"/>
              <w:rPr>
                <w:rFonts w:asciiTheme="minorEastAsia" w:hAnsiTheme="minorEastAsia" w:eastAsiaTheme="minorEastAsia" w:cstheme="minorEastAsia"/>
                <w:b/>
                <w:bCs/>
                <w:sz w:val="18"/>
                <w:szCs w:val="18"/>
              </w:rPr>
            </w:pPr>
          </w:p>
        </w:tc>
        <w:tc>
          <w:tcPr>
            <w:tcW w:w="295" w:type="pct"/>
            <w:vAlign w:val="center"/>
          </w:tcPr>
          <w:p w14:paraId="1966F2E8">
            <w:pPr>
              <w:pStyle w:val="13"/>
              <w:adjustRightInd w:val="0"/>
              <w:snapToGrid w:val="0"/>
              <w:spacing w:after="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4</w:t>
            </w:r>
          </w:p>
        </w:tc>
        <w:tc>
          <w:tcPr>
            <w:tcW w:w="528" w:type="pct"/>
            <w:tcBorders>
              <w:right w:val="single" w:color="auto" w:sz="4" w:space="0"/>
            </w:tcBorders>
            <w:vAlign w:val="center"/>
          </w:tcPr>
          <w:p w14:paraId="6C163CB9">
            <w:pPr>
              <w:tabs>
                <w:tab w:val="left" w:pos="9751"/>
              </w:tabs>
              <w:adjustRightInd w:val="0"/>
              <w:snapToGrid w:val="0"/>
              <w:jc w:val="left"/>
              <w:rPr>
                <w:rFonts w:cs="宋体" w:asciiTheme="minorEastAsia" w:hAnsiTheme="minorEastAsia" w:eastAsiaTheme="minorEastAsia"/>
                <w:b/>
                <w:kern w:val="0"/>
                <w:sz w:val="18"/>
                <w:szCs w:val="18"/>
              </w:rPr>
            </w:pPr>
            <w:r>
              <w:rPr>
                <w:rFonts w:hint="eastAsia" w:cs="宋体" w:asciiTheme="minorEastAsia" w:hAnsiTheme="minorEastAsia" w:eastAsiaTheme="minorEastAsia"/>
                <w:b/>
                <w:kern w:val="0"/>
                <w:sz w:val="18"/>
                <w:szCs w:val="18"/>
              </w:rPr>
              <w:t>服务响应承诺</w:t>
            </w:r>
          </w:p>
        </w:tc>
        <w:tc>
          <w:tcPr>
            <w:tcW w:w="3478" w:type="pct"/>
            <w:tcBorders>
              <w:left w:val="single" w:color="auto" w:sz="4" w:space="0"/>
            </w:tcBorders>
            <w:vAlign w:val="center"/>
          </w:tcPr>
          <w:p w14:paraId="4A5D90B0">
            <w:pPr>
              <w:autoSpaceDE w:val="0"/>
              <w:autoSpaceDN w:val="0"/>
              <w:adjustRightInd w:val="0"/>
              <w:snapToGrid w:val="0"/>
              <w:jc w:val="left"/>
              <w:rPr>
                <w:rFonts w:cs="宋体" w:asciiTheme="minorEastAsia" w:hAnsiTheme="minorEastAsia" w:eastAsiaTheme="minorEastAsia"/>
                <w:kern w:val="0"/>
                <w:sz w:val="18"/>
                <w:szCs w:val="18"/>
                <w:highlight w:val="none"/>
              </w:rPr>
            </w:pPr>
            <w:r>
              <w:rPr>
                <w:rFonts w:hint="eastAsia" w:cs="宋体" w:asciiTheme="minorEastAsia" w:hAnsiTheme="minorEastAsia" w:eastAsiaTheme="minorEastAsia"/>
                <w:b/>
                <w:kern w:val="0"/>
                <w:sz w:val="18"/>
                <w:szCs w:val="18"/>
              </w:rPr>
              <w:t>（</w:t>
            </w:r>
            <w:r>
              <w:rPr>
                <w:rFonts w:hint="eastAsia" w:cs="宋体" w:asciiTheme="minorEastAsia" w:hAnsiTheme="minorEastAsia" w:eastAsiaTheme="minorEastAsia"/>
                <w:b/>
                <w:kern w:val="0"/>
                <w:sz w:val="18"/>
                <w:szCs w:val="18"/>
                <w:highlight w:val="none"/>
              </w:rPr>
              <w:t>专家打分）</w:t>
            </w:r>
            <w:r>
              <w:rPr>
                <w:rFonts w:hint="eastAsia" w:cs="宋体" w:asciiTheme="minorEastAsia" w:hAnsiTheme="minorEastAsia" w:eastAsiaTheme="minorEastAsia"/>
                <w:kern w:val="0"/>
                <w:sz w:val="18"/>
                <w:szCs w:val="18"/>
                <w:highlight w:val="none"/>
              </w:rPr>
              <w:t>考虑到本项目的特殊性，服务响应时间</w:t>
            </w:r>
            <w:r>
              <w:rPr>
                <w:rFonts w:hint="eastAsia" w:cs="宋体" w:asciiTheme="minorEastAsia" w:hAnsiTheme="minorEastAsia" w:eastAsiaTheme="minorEastAsia"/>
                <w:kern w:val="0"/>
                <w:sz w:val="18"/>
                <w:szCs w:val="18"/>
                <w:highlight w:val="none"/>
                <w:lang w:val="en-US" w:eastAsia="zh-CN"/>
              </w:rPr>
              <w:t>应</w:t>
            </w:r>
            <w:r>
              <w:rPr>
                <w:rFonts w:hint="eastAsia" w:cs="宋体" w:asciiTheme="minorEastAsia" w:hAnsiTheme="minorEastAsia" w:eastAsiaTheme="minorEastAsia"/>
                <w:kern w:val="0"/>
                <w:sz w:val="18"/>
                <w:szCs w:val="18"/>
                <w:highlight w:val="none"/>
              </w:rPr>
              <w:t>具有便利、快捷性、以及接到采购人任务后的</w:t>
            </w:r>
            <w:r>
              <w:rPr>
                <w:rFonts w:hint="eastAsia" w:cs="宋体" w:asciiTheme="minorEastAsia" w:hAnsiTheme="minorEastAsia" w:eastAsiaTheme="minorEastAsia"/>
                <w:kern w:val="0"/>
                <w:sz w:val="18"/>
                <w:szCs w:val="18"/>
                <w:highlight w:val="none"/>
                <w:lang w:val="en-US" w:eastAsia="zh-CN"/>
              </w:rPr>
              <w:t>到达现场时间、</w:t>
            </w:r>
            <w:r>
              <w:rPr>
                <w:rFonts w:hint="eastAsia" w:cs="宋体" w:asciiTheme="minorEastAsia" w:hAnsiTheme="minorEastAsia" w:eastAsiaTheme="minorEastAsia"/>
                <w:kern w:val="0"/>
                <w:sz w:val="18"/>
                <w:szCs w:val="18"/>
                <w:highlight w:val="none"/>
              </w:rPr>
              <w:t>完成时间响应情况等进行综合评分：</w:t>
            </w:r>
          </w:p>
          <w:p w14:paraId="69B548CB">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①服务承诺满足磋商文件要求，具有可行性，</w:t>
            </w:r>
            <w:bookmarkStart w:id="36" w:name="OLE_LINK1"/>
            <w:r>
              <w:rPr>
                <w:rFonts w:hint="eastAsia" w:cs="宋体" w:asciiTheme="minorEastAsia" w:hAnsiTheme="minorEastAsia" w:eastAsiaTheme="minorEastAsia"/>
                <w:kern w:val="0"/>
                <w:sz w:val="18"/>
                <w:szCs w:val="18"/>
                <w:lang w:val="en-US" w:eastAsia="zh-CN"/>
              </w:rPr>
              <w:t>到达现场时间、</w:t>
            </w:r>
            <w:bookmarkEnd w:id="36"/>
            <w:r>
              <w:rPr>
                <w:rFonts w:hint="eastAsia" w:cs="宋体" w:asciiTheme="minorEastAsia" w:hAnsiTheme="minorEastAsia" w:eastAsiaTheme="minorEastAsia"/>
                <w:kern w:val="0"/>
                <w:sz w:val="18"/>
                <w:szCs w:val="18"/>
              </w:rPr>
              <w:t>完成响应时间优于磋商文件要求的，得7.0</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10.0</w:t>
            </w:r>
            <w:r>
              <w:rPr>
                <w:rFonts w:cs="宋体" w:asciiTheme="minorEastAsia" w:hAnsiTheme="minorEastAsia" w:eastAsiaTheme="minorEastAsia"/>
                <w:kern w:val="0"/>
                <w:sz w:val="18"/>
                <w:szCs w:val="18"/>
              </w:rPr>
              <w:t xml:space="preserve"> </w:t>
            </w:r>
            <w:r>
              <w:rPr>
                <w:rFonts w:hint="eastAsia" w:cs="宋体" w:asciiTheme="minorEastAsia" w:hAnsiTheme="minorEastAsia" w:eastAsiaTheme="minorEastAsia"/>
                <w:kern w:val="0"/>
                <w:sz w:val="18"/>
                <w:szCs w:val="18"/>
              </w:rPr>
              <w:t>分；</w:t>
            </w:r>
          </w:p>
          <w:p w14:paraId="47989CC1">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②服务承诺部分满足磋商文件要求，可行性一般，</w:t>
            </w:r>
            <w:bookmarkStart w:id="37" w:name="OLE_LINK2"/>
            <w:r>
              <w:rPr>
                <w:rFonts w:hint="eastAsia" w:cs="宋体" w:asciiTheme="minorEastAsia" w:hAnsiTheme="minorEastAsia" w:eastAsiaTheme="minorEastAsia"/>
                <w:kern w:val="0"/>
                <w:sz w:val="18"/>
                <w:szCs w:val="18"/>
                <w:lang w:val="en-US" w:eastAsia="zh-CN"/>
              </w:rPr>
              <w:t>到达现场时间、</w:t>
            </w:r>
            <w:bookmarkEnd w:id="37"/>
            <w:r>
              <w:rPr>
                <w:rFonts w:hint="eastAsia" w:cs="宋体" w:asciiTheme="minorEastAsia" w:hAnsiTheme="minorEastAsia" w:eastAsiaTheme="minorEastAsia"/>
                <w:kern w:val="0"/>
                <w:sz w:val="18"/>
                <w:szCs w:val="18"/>
              </w:rPr>
              <w:t>完成响应时间符合磋商文件要求的，得4.0</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6</w:t>
            </w:r>
            <w:r>
              <w:rPr>
                <w:rFonts w:cs="宋体" w:asciiTheme="minorEastAsia" w:hAnsiTheme="minorEastAsia" w:eastAsiaTheme="minorEastAsia"/>
                <w:kern w:val="0"/>
                <w:sz w:val="18"/>
                <w:szCs w:val="18"/>
              </w:rPr>
              <w:t xml:space="preserve">.9 </w:t>
            </w:r>
            <w:r>
              <w:rPr>
                <w:rFonts w:hint="eastAsia" w:cs="宋体" w:asciiTheme="minorEastAsia" w:hAnsiTheme="minorEastAsia" w:eastAsiaTheme="minorEastAsia"/>
                <w:kern w:val="0"/>
                <w:sz w:val="18"/>
                <w:szCs w:val="18"/>
              </w:rPr>
              <w:t>分；</w:t>
            </w:r>
          </w:p>
          <w:p w14:paraId="5F738F29">
            <w:pPr>
              <w:autoSpaceDE w:val="0"/>
              <w:autoSpaceDN w:val="0"/>
              <w:adjustRightInd w:val="0"/>
              <w:snapToGrid w:val="0"/>
              <w:jc w:val="left"/>
              <w:rPr>
                <w:rFonts w:cs="宋体" w:asciiTheme="minorEastAsia" w:hAnsiTheme="minorEastAsia" w:eastAsiaTheme="minorEastAsia"/>
                <w:b/>
                <w:kern w:val="0"/>
                <w:sz w:val="18"/>
                <w:szCs w:val="18"/>
              </w:rPr>
            </w:pPr>
            <w:r>
              <w:rPr>
                <w:rFonts w:hint="eastAsia" w:cs="宋体" w:asciiTheme="minorEastAsia" w:hAnsiTheme="minorEastAsia" w:eastAsiaTheme="minorEastAsia"/>
                <w:kern w:val="0"/>
                <w:sz w:val="18"/>
                <w:szCs w:val="18"/>
              </w:rPr>
              <w:t>③服务承诺与磋商文件要求不符，不具有可行性，内容敷衍，</w:t>
            </w:r>
            <w:r>
              <w:rPr>
                <w:rFonts w:hint="eastAsia" w:cs="宋体" w:asciiTheme="minorEastAsia" w:hAnsiTheme="minorEastAsia" w:eastAsiaTheme="minorEastAsia"/>
                <w:kern w:val="0"/>
                <w:sz w:val="18"/>
                <w:szCs w:val="18"/>
                <w:lang w:val="en-US" w:eastAsia="zh-CN"/>
              </w:rPr>
              <w:t>到达现场时间</w:t>
            </w:r>
            <w:r>
              <w:rPr>
                <w:rFonts w:hint="eastAsia" w:cs="宋体" w:asciiTheme="minorEastAsia" w:hAnsiTheme="minorEastAsia" w:eastAsiaTheme="minorEastAsia"/>
                <w:kern w:val="0"/>
                <w:sz w:val="18"/>
                <w:szCs w:val="18"/>
              </w:rPr>
              <w:t>或完成响应时间不符合磋商文件要求的，得1.</w:t>
            </w:r>
            <w:r>
              <w:rPr>
                <w:rFonts w:cs="宋体" w:asciiTheme="minorEastAsia" w:hAnsiTheme="minorEastAsia" w:eastAsiaTheme="minorEastAsia"/>
                <w:kern w:val="0"/>
                <w:sz w:val="18"/>
                <w:szCs w:val="18"/>
              </w:rPr>
              <w:t>0-</w:t>
            </w:r>
            <w:r>
              <w:rPr>
                <w:rFonts w:hint="eastAsia" w:cs="宋体" w:asciiTheme="minorEastAsia" w:hAnsiTheme="minorEastAsia" w:eastAsiaTheme="minorEastAsia"/>
                <w:kern w:val="0"/>
                <w:sz w:val="18"/>
                <w:szCs w:val="18"/>
              </w:rPr>
              <w:t>3</w:t>
            </w:r>
            <w:r>
              <w:rPr>
                <w:rFonts w:cs="宋体" w:asciiTheme="minorEastAsia" w:hAnsiTheme="minorEastAsia" w:eastAsiaTheme="minorEastAsia"/>
                <w:kern w:val="0"/>
                <w:sz w:val="18"/>
                <w:szCs w:val="18"/>
              </w:rPr>
              <w:t xml:space="preserve">.9 </w:t>
            </w:r>
            <w:r>
              <w:rPr>
                <w:rFonts w:hint="eastAsia" w:cs="宋体" w:asciiTheme="minorEastAsia" w:hAnsiTheme="minorEastAsia" w:eastAsiaTheme="minorEastAsia"/>
                <w:kern w:val="0"/>
                <w:sz w:val="18"/>
                <w:szCs w:val="18"/>
              </w:rPr>
              <w:t>分。</w:t>
            </w:r>
          </w:p>
        </w:tc>
        <w:tc>
          <w:tcPr>
            <w:tcW w:w="365" w:type="pct"/>
            <w:vAlign w:val="center"/>
          </w:tcPr>
          <w:p w14:paraId="21E27D23">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0-10</w:t>
            </w:r>
          </w:p>
        </w:tc>
      </w:tr>
      <w:tr w14:paraId="04ECB0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334" w:type="pct"/>
            <w:vMerge w:val="continue"/>
            <w:vAlign w:val="center"/>
          </w:tcPr>
          <w:p w14:paraId="20C5E62F">
            <w:pPr>
              <w:adjustRightInd w:val="0"/>
              <w:snapToGrid w:val="0"/>
              <w:jc w:val="center"/>
              <w:rPr>
                <w:rFonts w:asciiTheme="minorEastAsia" w:hAnsiTheme="minorEastAsia" w:eastAsiaTheme="minorEastAsia" w:cstheme="minorEastAsia"/>
                <w:b/>
                <w:bCs/>
                <w:sz w:val="18"/>
                <w:szCs w:val="18"/>
              </w:rPr>
            </w:pPr>
          </w:p>
        </w:tc>
        <w:tc>
          <w:tcPr>
            <w:tcW w:w="295" w:type="pct"/>
            <w:vAlign w:val="center"/>
          </w:tcPr>
          <w:p w14:paraId="32294E4A">
            <w:pPr>
              <w:pStyle w:val="13"/>
              <w:adjustRightInd w:val="0"/>
              <w:snapToGrid w:val="0"/>
              <w:spacing w:after="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5</w:t>
            </w:r>
          </w:p>
        </w:tc>
        <w:tc>
          <w:tcPr>
            <w:tcW w:w="528" w:type="pct"/>
            <w:tcBorders>
              <w:right w:val="single" w:color="auto" w:sz="4" w:space="0"/>
            </w:tcBorders>
            <w:vAlign w:val="center"/>
          </w:tcPr>
          <w:p w14:paraId="576D9A43">
            <w:pPr>
              <w:tabs>
                <w:tab w:val="left" w:pos="9751"/>
              </w:tabs>
              <w:adjustRightInd w:val="0"/>
              <w:snapToGrid w:val="0"/>
              <w:jc w:val="center"/>
              <w:rPr>
                <w:rFonts w:cs="宋体" w:asciiTheme="minorEastAsia" w:hAnsiTheme="minorEastAsia" w:eastAsiaTheme="minorEastAsia"/>
                <w:b/>
                <w:kern w:val="0"/>
                <w:sz w:val="18"/>
                <w:szCs w:val="18"/>
              </w:rPr>
            </w:pPr>
            <w:r>
              <w:rPr>
                <w:rFonts w:cs="宋体" w:asciiTheme="minorEastAsia" w:hAnsiTheme="minorEastAsia" w:eastAsiaTheme="minorEastAsia"/>
                <w:b/>
                <w:kern w:val="0"/>
                <w:sz w:val="18"/>
                <w:szCs w:val="18"/>
              </w:rPr>
              <w:t>样品</w:t>
            </w:r>
          </w:p>
        </w:tc>
        <w:tc>
          <w:tcPr>
            <w:tcW w:w="3478" w:type="pct"/>
            <w:tcBorders>
              <w:left w:val="single" w:color="auto" w:sz="4" w:space="0"/>
            </w:tcBorders>
            <w:vAlign w:val="center"/>
          </w:tcPr>
          <w:p w14:paraId="4B2D998F">
            <w:pPr>
              <w:adjustRightInd w:val="0"/>
              <w:snapToGrid w:val="0"/>
              <w:rPr>
                <w:rFonts w:hint="eastAsia" w:cs="宋体" w:asciiTheme="minorEastAsia" w:hAnsiTheme="minorEastAsia" w:eastAsiaTheme="minorEastAsia"/>
                <w:b/>
                <w:kern w:val="0"/>
                <w:sz w:val="18"/>
                <w:szCs w:val="18"/>
              </w:rPr>
            </w:pPr>
            <w:r>
              <w:rPr>
                <w:rFonts w:hint="eastAsia" w:cs="宋体" w:asciiTheme="minorEastAsia" w:hAnsiTheme="minorEastAsia" w:eastAsiaTheme="minorEastAsia"/>
                <w:b/>
                <w:kern w:val="0"/>
                <w:sz w:val="18"/>
                <w:szCs w:val="18"/>
              </w:rPr>
              <w:t>（专家打分）相册样品一份，不限材质（退休、毕业季、荣誉表彰等内容均可）</w:t>
            </w:r>
            <w:r>
              <w:rPr>
                <w:rFonts w:hint="eastAsia" w:cs="宋体" w:asciiTheme="minorEastAsia" w:hAnsiTheme="minorEastAsia" w:eastAsiaTheme="minorEastAsia"/>
                <w:kern w:val="0"/>
                <w:sz w:val="18"/>
                <w:szCs w:val="18"/>
              </w:rPr>
              <w:t>,根据以下内容综合评分：</w:t>
            </w:r>
          </w:p>
          <w:p w14:paraId="79E8FC37">
            <w:pP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①</w:t>
            </w:r>
            <w:r>
              <w:rPr>
                <w:rFonts w:hint="eastAsia" w:cs="宋体" w:asciiTheme="minorEastAsia" w:hAnsiTheme="minorEastAsia" w:eastAsiaTheme="minorEastAsia"/>
                <w:b/>
                <w:kern w:val="0"/>
                <w:sz w:val="18"/>
                <w:szCs w:val="18"/>
              </w:rPr>
              <w:t>照片质量：</w:t>
            </w:r>
            <w:r>
              <w:rPr>
                <w:rFonts w:hint="eastAsia" w:cs="宋体" w:asciiTheme="minorEastAsia" w:hAnsiTheme="minorEastAsia" w:eastAsiaTheme="minorEastAsia"/>
                <w:kern w:val="0"/>
                <w:sz w:val="18"/>
                <w:szCs w:val="18"/>
              </w:rPr>
              <w:t>根据照片是否清晰、分辨率是否足够、是否能够清楚展现细节和纹理；照片色彩是否鲜艳、自然、具有良好的饱和度和对比度等进行评分（0-5.0分）；</w:t>
            </w:r>
          </w:p>
          <w:p w14:paraId="791045B4">
            <w:pP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②</w:t>
            </w:r>
            <w:r>
              <w:rPr>
                <w:rFonts w:hint="eastAsia" w:cs="宋体" w:asciiTheme="minorEastAsia" w:hAnsiTheme="minorEastAsia" w:eastAsiaTheme="minorEastAsia"/>
                <w:b/>
                <w:kern w:val="0"/>
                <w:sz w:val="18"/>
                <w:szCs w:val="18"/>
              </w:rPr>
              <w:t>主题和创意：</w:t>
            </w:r>
            <w:r>
              <w:rPr>
                <w:rFonts w:hint="eastAsia" w:cs="宋体" w:asciiTheme="minorEastAsia" w:hAnsiTheme="minorEastAsia" w:eastAsiaTheme="minorEastAsia"/>
                <w:kern w:val="0"/>
                <w:sz w:val="18"/>
                <w:szCs w:val="18"/>
              </w:rPr>
              <w:t>根据相册的主题是否明确、内容是否丰富、是否具有吸引力和感染力；构图是否对称、平衡、具有美感；创意是否独特、表现形式是否新颖等进行评分（0-5.0分）；</w:t>
            </w:r>
          </w:p>
          <w:p w14:paraId="393D84AB">
            <w:pP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sz w:val="18"/>
                <w:szCs w:val="18"/>
              </w:rPr>
              <w:t>③</w:t>
            </w:r>
            <w:r>
              <w:rPr>
                <w:rFonts w:hint="eastAsia" w:cs="宋体" w:asciiTheme="minorEastAsia" w:hAnsiTheme="minorEastAsia" w:eastAsiaTheme="minorEastAsia"/>
                <w:b/>
                <w:sz w:val="18"/>
                <w:szCs w:val="18"/>
              </w:rPr>
              <w:t>相册材质：</w:t>
            </w:r>
            <w:r>
              <w:rPr>
                <w:rFonts w:hint="eastAsia" w:cs="宋体" w:asciiTheme="minorEastAsia" w:hAnsiTheme="minorEastAsia" w:eastAsiaTheme="minorEastAsia"/>
                <w:kern w:val="0"/>
                <w:sz w:val="18"/>
                <w:szCs w:val="18"/>
              </w:rPr>
              <w:t>根据相册材质选择的视觉效果、表面光泽度、色彩还原度、耐磨性、防潮性等进行评分（0-5.0分）。</w:t>
            </w:r>
          </w:p>
          <w:p w14:paraId="52B6ADBF">
            <w:pPr>
              <w:autoSpaceDE w:val="0"/>
              <w:autoSpaceDN w:val="0"/>
              <w:adjustRightInd w:val="0"/>
              <w:snapToGrid w:val="0"/>
            </w:pPr>
            <w:r>
              <w:rPr>
                <w:rFonts w:hint="eastAsia" w:cs="宋体" w:asciiTheme="minorEastAsia" w:hAnsiTheme="minorEastAsia" w:eastAsiaTheme="minorEastAsia"/>
                <w:b/>
                <w:kern w:val="0"/>
                <w:sz w:val="18"/>
                <w:szCs w:val="18"/>
              </w:rPr>
              <w:t>注：未提供样品或样品非暗标的不得分；样品不符合磋商文件要求的，按评审办法及标准酌情扣分，样品质量不影响其响应文件的有效性。</w:t>
            </w:r>
          </w:p>
        </w:tc>
        <w:tc>
          <w:tcPr>
            <w:tcW w:w="365" w:type="pct"/>
            <w:vAlign w:val="center"/>
          </w:tcPr>
          <w:p w14:paraId="0A9035A5">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0-15</w:t>
            </w:r>
          </w:p>
        </w:tc>
      </w:tr>
      <w:tr w14:paraId="610394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1" w:hRule="atLeast"/>
          <w:jc w:val="center"/>
        </w:trPr>
        <w:tc>
          <w:tcPr>
            <w:tcW w:w="334" w:type="pct"/>
            <w:vMerge w:val="restart"/>
            <w:vAlign w:val="center"/>
          </w:tcPr>
          <w:p w14:paraId="23DA1E7B">
            <w:pPr>
              <w:adjustRightInd w:val="0"/>
              <w:snapToGrid w:val="0"/>
              <w:jc w:val="center"/>
              <w:rPr>
                <w:rFonts w:asciiTheme="minorEastAsia" w:hAnsiTheme="minorEastAsia" w:eastAsiaTheme="minorEastAsia" w:cstheme="minorEastAsia"/>
                <w:b/>
                <w:bCs/>
                <w:sz w:val="18"/>
                <w:szCs w:val="18"/>
              </w:rPr>
            </w:pPr>
            <w:r>
              <w:rPr>
                <w:rFonts w:asciiTheme="minorEastAsia" w:hAnsiTheme="minorEastAsia" w:eastAsiaTheme="minorEastAsia" w:cstheme="minorEastAsia"/>
                <w:b/>
                <w:bCs/>
                <w:sz w:val="18"/>
                <w:szCs w:val="18"/>
              </w:rPr>
              <w:t>商务部分</w:t>
            </w:r>
          </w:p>
        </w:tc>
        <w:tc>
          <w:tcPr>
            <w:tcW w:w="295" w:type="pct"/>
            <w:tcBorders>
              <w:top w:val="single" w:color="auto" w:sz="4" w:space="0"/>
            </w:tcBorders>
            <w:vAlign w:val="center"/>
          </w:tcPr>
          <w:p w14:paraId="7A22CB04">
            <w:pPr>
              <w:pStyle w:val="10"/>
              <w:adjustRightInd w:val="0"/>
              <w:snapToGrid w:val="0"/>
              <w:ind w:firstLine="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6</w:t>
            </w:r>
          </w:p>
        </w:tc>
        <w:tc>
          <w:tcPr>
            <w:tcW w:w="528" w:type="pct"/>
            <w:tcBorders>
              <w:right w:val="single" w:color="auto" w:sz="4" w:space="0"/>
            </w:tcBorders>
            <w:vAlign w:val="center"/>
          </w:tcPr>
          <w:p w14:paraId="3260E839">
            <w:pPr>
              <w:tabs>
                <w:tab w:val="left" w:pos="9751"/>
              </w:tabs>
              <w:adjustRightInd w:val="0"/>
              <w:snapToGrid w:val="0"/>
              <w:jc w:val="left"/>
              <w:rPr>
                <w:rFonts w:cs="宋体" w:asciiTheme="minorEastAsia" w:hAnsiTheme="minorEastAsia" w:eastAsiaTheme="minorEastAsia"/>
                <w:b/>
                <w:kern w:val="0"/>
                <w:sz w:val="18"/>
                <w:szCs w:val="18"/>
              </w:rPr>
            </w:pPr>
            <w:r>
              <w:rPr>
                <w:rFonts w:cs="宋体" w:asciiTheme="minorEastAsia" w:hAnsiTheme="minorEastAsia" w:eastAsiaTheme="minorEastAsia"/>
                <w:b/>
                <w:kern w:val="0"/>
                <w:sz w:val="18"/>
                <w:szCs w:val="18"/>
              </w:rPr>
              <w:t>设备配备</w:t>
            </w:r>
          </w:p>
        </w:tc>
        <w:tc>
          <w:tcPr>
            <w:tcW w:w="3478" w:type="pct"/>
            <w:tcBorders>
              <w:left w:val="single" w:color="auto" w:sz="4" w:space="0"/>
            </w:tcBorders>
            <w:vAlign w:val="center"/>
          </w:tcPr>
          <w:p w14:paraId="636860F8">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b/>
                <w:kern w:val="0"/>
                <w:sz w:val="18"/>
                <w:szCs w:val="18"/>
              </w:rPr>
              <w:t>（专家打分）</w:t>
            </w:r>
            <w:r>
              <w:rPr>
                <w:rFonts w:hint="eastAsia" w:cs="宋体" w:asciiTheme="minorEastAsia" w:hAnsiTheme="minorEastAsia" w:eastAsiaTheme="minorEastAsia"/>
                <w:kern w:val="0"/>
                <w:sz w:val="18"/>
                <w:szCs w:val="18"/>
              </w:rPr>
              <w:t>根据供应商设备配备情况（包括数量、品牌、型号、功能、技术参数等）进行综合评分：</w:t>
            </w:r>
          </w:p>
          <w:p w14:paraId="7ECFF8C2">
            <w:pPr>
              <w:autoSpaceDE w:val="0"/>
              <w:autoSpaceDN w:val="0"/>
              <w:adjustRightInd w:val="0"/>
              <w:snapToGrid w:val="0"/>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①设备配备数量齐全、品牌知名度高、功能先进成熟的得8.0-12.0分；</w:t>
            </w:r>
          </w:p>
          <w:p w14:paraId="1AB1794D">
            <w:pPr>
              <w:autoSpaceDE w:val="0"/>
              <w:autoSpaceDN w:val="0"/>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②设备配备数量不够齐全、品牌知名度不高、功能参数基本满足需求的得4.0</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7</w:t>
            </w:r>
            <w:r>
              <w:rPr>
                <w:rFonts w:cs="宋体" w:asciiTheme="minorEastAsia" w:hAnsiTheme="minorEastAsia" w:eastAsiaTheme="minorEastAsia"/>
                <w:kern w:val="0"/>
                <w:sz w:val="18"/>
                <w:szCs w:val="18"/>
              </w:rPr>
              <w:t xml:space="preserve">.9 </w:t>
            </w:r>
            <w:r>
              <w:rPr>
                <w:rFonts w:hint="eastAsia" w:cs="宋体" w:asciiTheme="minorEastAsia" w:hAnsiTheme="minorEastAsia" w:eastAsiaTheme="minorEastAsia"/>
                <w:kern w:val="0"/>
                <w:sz w:val="18"/>
                <w:szCs w:val="18"/>
              </w:rPr>
              <w:t>分；</w:t>
            </w:r>
          </w:p>
          <w:p w14:paraId="694D497A">
            <w:pPr>
              <w:adjustRightInd w:val="0"/>
              <w:snapToGrid w:val="0"/>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③设备配备不够齐全、品牌知名度低、有明显缺陷的得1.0</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3</w:t>
            </w:r>
            <w:r>
              <w:rPr>
                <w:rFonts w:cs="宋体" w:asciiTheme="minorEastAsia" w:hAnsiTheme="minorEastAsia" w:eastAsiaTheme="minorEastAsia"/>
                <w:kern w:val="0"/>
                <w:sz w:val="18"/>
                <w:szCs w:val="18"/>
              </w:rPr>
              <w:t xml:space="preserve">.9 </w:t>
            </w:r>
            <w:r>
              <w:rPr>
                <w:rFonts w:hint="eastAsia" w:cs="宋体" w:asciiTheme="minorEastAsia" w:hAnsiTheme="minorEastAsia" w:eastAsiaTheme="minorEastAsia"/>
                <w:kern w:val="0"/>
                <w:sz w:val="18"/>
                <w:szCs w:val="18"/>
              </w:rPr>
              <w:t>分。</w:t>
            </w:r>
          </w:p>
          <w:p w14:paraId="74091B86">
            <w:pPr>
              <w:adjustRightInd w:val="0"/>
              <w:snapToGrid w:val="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注：须提供设备清单及实物照片彩图，否则不得分；响应文件无相关内容不得分。</w:t>
            </w:r>
          </w:p>
        </w:tc>
        <w:tc>
          <w:tcPr>
            <w:tcW w:w="365" w:type="pct"/>
            <w:vAlign w:val="center"/>
          </w:tcPr>
          <w:p w14:paraId="0278F718">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0-12</w:t>
            </w:r>
          </w:p>
        </w:tc>
      </w:tr>
      <w:tr w14:paraId="45FB72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1" w:hRule="atLeast"/>
          <w:jc w:val="center"/>
        </w:trPr>
        <w:tc>
          <w:tcPr>
            <w:tcW w:w="334" w:type="pct"/>
            <w:vMerge w:val="continue"/>
            <w:vAlign w:val="center"/>
          </w:tcPr>
          <w:p w14:paraId="3EA7607B">
            <w:pPr>
              <w:adjustRightInd w:val="0"/>
              <w:snapToGrid w:val="0"/>
              <w:jc w:val="center"/>
              <w:rPr>
                <w:rFonts w:asciiTheme="minorEastAsia" w:hAnsiTheme="minorEastAsia" w:eastAsiaTheme="minorEastAsia" w:cstheme="minorEastAsia"/>
                <w:b/>
                <w:bCs/>
                <w:sz w:val="18"/>
                <w:szCs w:val="18"/>
              </w:rPr>
            </w:pPr>
          </w:p>
        </w:tc>
        <w:tc>
          <w:tcPr>
            <w:tcW w:w="295" w:type="pct"/>
            <w:tcBorders>
              <w:top w:val="single" w:color="auto" w:sz="4" w:space="0"/>
            </w:tcBorders>
            <w:vAlign w:val="center"/>
          </w:tcPr>
          <w:p w14:paraId="255EA93C">
            <w:pPr>
              <w:pStyle w:val="10"/>
              <w:adjustRightInd w:val="0"/>
              <w:snapToGrid w:val="0"/>
              <w:ind w:firstLine="0"/>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7</w:t>
            </w:r>
          </w:p>
        </w:tc>
        <w:tc>
          <w:tcPr>
            <w:tcW w:w="528" w:type="pct"/>
            <w:tcBorders>
              <w:right w:val="single" w:color="auto" w:sz="4" w:space="0"/>
            </w:tcBorders>
            <w:vAlign w:val="center"/>
          </w:tcPr>
          <w:p w14:paraId="504211D5">
            <w:pPr>
              <w:tabs>
                <w:tab w:val="left" w:pos="9751"/>
              </w:tabs>
              <w:adjustRightInd w:val="0"/>
              <w:snapToGrid w:val="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b/>
                <w:kern w:val="0"/>
                <w:sz w:val="18"/>
                <w:szCs w:val="18"/>
              </w:rPr>
              <w:t>类似业绩</w:t>
            </w:r>
          </w:p>
        </w:tc>
        <w:tc>
          <w:tcPr>
            <w:tcW w:w="3478" w:type="pct"/>
            <w:tcBorders>
              <w:left w:val="single" w:color="auto" w:sz="4" w:space="0"/>
            </w:tcBorders>
            <w:vAlign w:val="center"/>
          </w:tcPr>
          <w:p w14:paraId="6A39F055">
            <w:pPr>
              <w:autoSpaceDE w:val="0"/>
              <w:autoSpaceDN w:val="0"/>
              <w:adjustRightInd w:val="0"/>
              <w:snapToGrid w:val="0"/>
              <w:rPr>
                <w:rFonts w:cs="宋体" w:asciiTheme="minorEastAsia" w:hAnsiTheme="minorEastAsia" w:eastAsiaTheme="minorEastAsia"/>
                <w:kern w:val="0"/>
                <w:sz w:val="18"/>
                <w:szCs w:val="18"/>
              </w:rPr>
            </w:pPr>
            <w:r>
              <w:rPr>
                <w:rFonts w:hint="eastAsia" w:cs="宋体" w:asciiTheme="minorEastAsia" w:hAnsiTheme="minorEastAsia" w:eastAsiaTheme="minorEastAsia"/>
                <w:b/>
                <w:kern w:val="0"/>
                <w:sz w:val="18"/>
                <w:szCs w:val="18"/>
              </w:rPr>
              <w:t>（客观分）</w:t>
            </w:r>
            <w:r>
              <w:rPr>
                <w:rFonts w:hint="eastAsia" w:cs="宋体" w:asciiTheme="minorEastAsia" w:hAnsiTheme="minorEastAsia" w:eastAsiaTheme="minorEastAsia"/>
                <w:kern w:val="0"/>
                <w:sz w:val="18"/>
                <w:szCs w:val="18"/>
              </w:rPr>
              <w:t>供应商自</w:t>
            </w:r>
            <w:r>
              <w:rPr>
                <w:rFonts w:cs="宋体" w:asciiTheme="minorEastAsia" w:hAnsiTheme="minorEastAsia" w:eastAsiaTheme="minorEastAsia"/>
                <w:kern w:val="0"/>
                <w:sz w:val="18"/>
                <w:szCs w:val="18"/>
              </w:rPr>
              <w:t>2021</w:t>
            </w:r>
            <w:r>
              <w:rPr>
                <w:rFonts w:hint="eastAsia" w:cs="宋体" w:asciiTheme="minorEastAsia" w:hAnsiTheme="minorEastAsia" w:eastAsiaTheme="minorEastAsia"/>
                <w:kern w:val="0"/>
                <w:sz w:val="18"/>
                <w:szCs w:val="18"/>
              </w:rPr>
              <w:t>年</w:t>
            </w:r>
            <w:r>
              <w:rPr>
                <w:rFonts w:cs="宋体"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月</w:t>
            </w:r>
            <w:r>
              <w:rPr>
                <w:rFonts w:cs="宋体"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日以来承担过类似本项目业绩的，每有</w:t>
            </w:r>
            <w:r>
              <w:rPr>
                <w:rFonts w:cs="宋体"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个合同得</w:t>
            </w:r>
            <w:r>
              <w:rPr>
                <w:rFonts w:cs="宋体"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分，最多得3分。</w:t>
            </w:r>
          </w:p>
          <w:p w14:paraId="4B78EE01">
            <w:pPr>
              <w:autoSpaceDE w:val="0"/>
              <w:autoSpaceDN w:val="0"/>
              <w:adjustRightInd w:val="0"/>
              <w:snapToGrid w:val="0"/>
              <w:rPr>
                <w:rFonts w:cs="宋体" w:asciiTheme="minorEastAsia" w:hAnsiTheme="minorEastAsia" w:eastAsiaTheme="minorEastAsia"/>
                <w:b/>
                <w:kern w:val="0"/>
                <w:sz w:val="18"/>
                <w:szCs w:val="18"/>
              </w:rPr>
            </w:pPr>
            <w:r>
              <w:rPr>
                <w:rFonts w:hint="eastAsia" w:cs="宋体" w:asciiTheme="minorEastAsia" w:hAnsiTheme="minorEastAsia" w:eastAsiaTheme="minorEastAsia"/>
                <w:b/>
                <w:kern w:val="0"/>
                <w:sz w:val="18"/>
                <w:szCs w:val="18"/>
              </w:rPr>
              <w:t>注：响应文件中提供合同业绩原件复印件，未提供的不得分。</w:t>
            </w:r>
          </w:p>
        </w:tc>
        <w:tc>
          <w:tcPr>
            <w:tcW w:w="365" w:type="pct"/>
            <w:vAlign w:val="center"/>
          </w:tcPr>
          <w:p w14:paraId="21AD9A8D">
            <w:pPr>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0-3</w:t>
            </w:r>
          </w:p>
        </w:tc>
      </w:tr>
      <w:tr w14:paraId="30CE2F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81" w:hRule="atLeast"/>
          <w:jc w:val="center"/>
        </w:trPr>
        <w:tc>
          <w:tcPr>
            <w:tcW w:w="334" w:type="pct"/>
            <w:tcBorders>
              <w:bottom w:val="single" w:color="auto" w:sz="12" w:space="0"/>
              <w:right w:val="single" w:color="auto" w:sz="4" w:space="0"/>
            </w:tcBorders>
            <w:vAlign w:val="center"/>
          </w:tcPr>
          <w:p w14:paraId="7D1FFC75">
            <w:pPr>
              <w:widowControl/>
              <w:adjustRightInd w:val="0"/>
              <w:snapToGrid w:val="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价格（报价）</w:t>
            </w:r>
          </w:p>
        </w:tc>
        <w:tc>
          <w:tcPr>
            <w:tcW w:w="295" w:type="pct"/>
            <w:tcBorders>
              <w:left w:val="single" w:color="auto" w:sz="4" w:space="0"/>
              <w:bottom w:val="single" w:color="auto" w:sz="12" w:space="0"/>
            </w:tcBorders>
            <w:vAlign w:val="center"/>
          </w:tcPr>
          <w:p w14:paraId="6BF838AB">
            <w:pPr>
              <w:widowControl/>
              <w:adjustRightInd w:val="0"/>
              <w:snapToGrid w:val="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10</w:t>
            </w:r>
          </w:p>
        </w:tc>
        <w:tc>
          <w:tcPr>
            <w:tcW w:w="4006" w:type="pct"/>
            <w:gridSpan w:val="2"/>
            <w:tcBorders>
              <w:bottom w:val="single" w:color="auto" w:sz="12" w:space="0"/>
            </w:tcBorders>
            <w:vAlign w:val="center"/>
          </w:tcPr>
          <w:p w14:paraId="67BD2694">
            <w:pPr>
              <w:widowControl/>
              <w:adjustRightInd w:val="0"/>
              <w:snapToGrid w:val="0"/>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取合格供应商的最终报价最低价为基准价，基准价为30分。报价得分＝（评审基准价/最终报价）×30%×100（小数点后保留2位小数，第3位四舍五入）。</w:t>
            </w:r>
          </w:p>
        </w:tc>
        <w:tc>
          <w:tcPr>
            <w:tcW w:w="365" w:type="pct"/>
            <w:tcBorders>
              <w:bottom w:val="single" w:color="auto" w:sz="12" w:space="0"/>
            </w:tcBorders>
            <w:vAlign w:val="center"/>
          </w:tcPr>
          <w:p w14:paraId="6C5ED7B9">
            <w:pPr>
              <w:widowControl/>
              <w:adjustRightInd w:val="0"/>
              <w:snapToGrid w:val="0"/>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r>
    </w:tbl>
    <w:p w14:paraId="0B774863">
      <w:pPr>
        <w:pStyle w:val="52"/>
        <w:spacing w:line="360" w:lineRule="auto"/>
        <w:rPr>
          <w:rFonts w:ascii="宋体" w:hAnsi="宋体" w:eastAsia="宋体"/>
          <w:b/>
          <w:sz w:val="21"/>
          <w:szCs w:val="21"/>
        </w:rPr>
      </w:pPr>
      <w:r>
        <w:rPr>
          <w:rFonts w:hint="eastAsia" w:ascii="宋体" w:hAnsi="宋体" w:eastAsia="宋体"/>
          <w:b/>
          <w:sz w:val="21"/>
          <w:szCs w:val="21"/>
        </w:rPr>
        <w:t>注：</w:t>
      </w:r>
    </w:p>
    <w:p w14:paraId="5EBB6ED6">
      <w:pPr>
        <w:pStyle w:val="52"/>
        <w:spacing w:line="360" w:lineRule="auto"/>
        <w:rPr>
          <w:rFonts w:ascii="宋体" w:hAnsi="宋体" w:eastAsia="宋体" w:cs="Times New Roman"/>
          <w:kern w:val="2"/>
          <w:sz w:val="21"/>
          <w:szCs w:val="21"/>
        </w:rPr>
      </w:pPr>
      <w:r>
        <w:rPr>
          <w:rFonts w:hint="eastAsia" w:ascii="宋体" w:hAnsi="宋体" w:eastAsia="宋体"/>
          <w:sz w:val="21"/>
          <w:szCs w:val="21"/>
        </w:rPr>
        <w:t>（1）供应商提供的复印件、打印件应清晰、完整并加盖供应商公章。如复印件存在不清晰或不完整等情况，磋商小组可要求供应商提供原件（或与原件相符的公证原件）查验，如供应商不能在规定时内提供原件（或与原件相符的公证原件），则由此造成评审委员会扣分直至认定为响应无效都将是供应商的责任。</w:t>
      </w:r>
    </w:p>
    <w:p w14:paraId="16FFFB11">
      <w:pPr>
        <w:pStyle w:val="52"/>
        <w:spacing w:line="360" w:lineRule="auto"/>
        <w:rPr>
          <w:rFonts w:ascii="宋体" w:hAnsi="宋体" w:eastAsia="宋体"/>
          <w:sz w:val="21"/>
          <w:szCs w:val="21"/>
        </w:rPr>
      </w:pPr>
      <w:r>
        <w:rPr>
          <w:rFonts w:hint="eastAsia" w:ascii="宋体" w:hAnsi="宋体" w:eastAsia="宋体"/>
          <w:sz w:val="21"/>
          <w:szCs w:val="21"/>
        </w:rPr>
        <w:t>（2）磋商小组成员各自独立打分，专家打分小数点后保留1位小数。供应商各项得分取专家打分总分的算术平均值，平均得分小数点后保留2位小数，第3位四舍五入。如磋商小组成员对客观分的认定意见不一致，需由持不同意见的专家分别出具书面说明。</w:t>
      </w:r>
    </w:p>
    <w:p w14:paraId="3086B022">
      <w:bookmarkStart w:id="38" w:name="_Toc4808"/>
      <w:bookmarkStart w:id="39" w:name="_Toc530562788"/>
      <w:r>
        <w:rPr>
          <w:rFonts w:hint="eastAsia"/>
        </w:rPr>
        <w:br w:type="page"/>
      </w:r>
    </w:p>
    <w:p w14:paraId="3CCF5C9A">
      <w:pPr>
        <w:pStyle w:val="26"/>
        <w:rPr>
          <w:rFonts w:hint="default"/>
          <w:lang w:val="en-US" w:eastAsia="zh-CN"/>
        </w:rPr>
      </w:pPr>
      <w:r>
        <w:rPr>
          <w:rFonts w:hint="eastAsia"/>
          <w:lang w:eastAsia="zh-CN"/>
        </w:rPr>
        <w:t>第五章 采购合同</w:t>
      </w:r>
      <w:bookmarkEnd w:id="38"/>
      <w:bookmarkEnd w:id="39"/>
      <w:r>
        <w:rPr>
          <w:rFonts w:hint="eastAsia"/>
          <w:lang w:val="en-US" w:eastAsia="zh-CN"/>
        </w:rPr>
        <w:t>草案</w:t>
      </w:r>
    </w:p>
    <w:p w14:paraId="2F89E136">
      <w:pPr>
        <w:pStyle w:val="14"/>
        <w:snapToGrid w:val="0"/>
        <w:spacing w:line="360" w:lineRule="auto"/>
        <w:rPr>
          <w:rFonts w:hAnsi="宋体"/>
          <w:sz w:val="24"/>
        </w:rPr>
      </w:pPr>
      <w:bookmarkStart w:id="40" w:name="_Toc30354"/>
    </w:p>
    <w:p w14:paraId="6E118AD0">
      <w:pPr>
        <w:pStyle w:val="82"/>
        <w:spacing w:line="360" w:lineRule="auto"/>
        <w:ind w:firstLine="480" w:firstLineChars="200"/>
        <w:rPr>
          <w:rStyle w:val="83"/>
          <w:rFonts w:hint="default" w:hAnsi="宋体" w:cs="宋体"/>
          <w:kern w:val="0"/>
          <w:sz w:val="24"/>
          <w:szCs w:val="24"/>
        </w:rPr>
      </w:pPr>
      <w:r>
        <w:rPr>
          <w:rStyle w:val="83"/>
          <w:rFonts w:hAnsi="宋体" w:cs="宋体"/>
          <w:kern w:val="0"/>
          <w:sz w:val="24"/>
          <w:szCs w:val="24"/>
        </w:rPr>
        <w:t xml:space="preserve">项目名称：台州市中医院年度广告制作服务项目          </w:t>
      </w:r>
    </w:p>
    <w:p w14:paraId="23703FB8">
      <w:pPr>
        <w:pStyle w:val="82"/>
        <w:spacing w:line="360" w:lineRule="auto"/>
        <w:ind w:firstLine="480" w:firstLineChars="200"/>
        <w:rPr>
          <w:rStyle w:val="83"/>
          <w:rFonts w:hint="default" w:hAnsi="宋体" w:cs="宋体"/>
          <w:kern w:val="0"/>
          <w:sz w:val="24"/>
          <w:szCs w:val="24"/>
        </w:rPr>
      </w:pPr>
      <w:r>
        <w:rPr>
          <w:rStyle w:val="83"/>
          <w:rFonts w:hAnsi="宋体" w:cs="宋体"/>
          <w:kern w:val="0"/>
          <w:sz w:val="24"/>
          <w:szCs w:val="24"/>
        </w:rPr>
        <w:t>项目编号：</w:t>
      </w:r>
    </w:p>
    <w:p w14:paraId="255320C5">
      <w:pPr>
        <w:pStyle w:val="82"/>
        <w:spacing w:line="360" w:lineRule="auto"/>
        <w:ind w:firstLine="480" w:firstLineChars="200"/>
        <w:rPr>
          <w:rStyle w:val="83"/>
          <w:rFonts w:hint="default" w:hAnsi="宋体" w:cs="宋体"/>
          <w:kern w:val="0"/>
          <w:sz w:val="24"/>
          <w:szCs w:val="24"/>
        </w:rPr>
      </w:pPr>
      <w:r>
        <w:rPr>
          <w:rStyle w:val="83"/>
          <w:rFonts w:hAnsi="宋体" w:cs="宋体"/>
          <w:kern w:val="0"/>
          <w:sz w:val="24"/>
          <w:szCs w:val="24"/>
        </w:rPr>
        <w:t>甲方（采购人）：台州市中医院</w:t>
      </w:r>
    </w:p>
    <w:p w14:paraId="0B6579F1">
      <w:pPr>
        <w:pStyle w:val="82"/>
        <w:spacing w:line="360" w:lineRule="auto"/>
        <w:ind w:firstLine="480" w:firstLineChars="200"/>
        <w:rPr>
          <w:rStyle w:val="83"/>
          <w:rFonts w:hint="default" w:hAnsi="宋体" w:cs="宋体"/>
          <w:kern w:val="0"/>
          <w:sz w:val="24"/>
          <w:szCs w:val="24"/>
        </w:rPr>
      </w:pPr>
      <w:r>
        <w:rPr>
          <w:rStyle w:val="83"/>
          <w:rFonts w:hAnsi="宋体" w:cs="宋体"/>
          <w:kern w:val="0"/>
          <w:sz w:val="24"/>
          <w:szCs w:val="24"/>
        </w:rPr>
        <w:t xml:space="preserve">乙方（成交供应商）： </w:t>
      </w:r>
    </w:p>
    <w:p w14:paraId="1EC976A3">
      <w:pPr>
        <w:pStyle w:val="82"/>
        <w:spacing w:line="360" w:lineRule="auto"/>
        <w:ind w:firstLine="480" w:firstLineChars="200"/>
        <w:rPr>
          <w:rFonts w:hint="default" w:hAnsi="宋体" w:cs="宋体"/>
          <w:sz w:val="24"/>
          <w:szCs w:val="24"/>
        </w:rPr>
      </w:pPr>
      <w:r>
        <w:rPr>
          <w:rFonts w:hAnsi="宋体" w:cs="宋体"/>
          <w:sz w:val="24"/>
          <w:szCs w:val="24"/>
        </w:rPr>
        <w:t>甲、乙双方根据台州市中医院年度广告制作服务项目竞争性磋商的结果，签署本合同。</w:t>
      </w:r>
    </w:p>
    <w:p w14:paraId="74C06299">
      <w:pPr>
        <w:spacing w:line="360" w:lineRule="auto"/>
        <w:ind w:firstLine="482" w:firstLineChars="200"/>
        <w:rPr>
          <w:rFonts w:ascii="宋体"/>
          <w:b/>
          <w:sz w:val="24"/>
          <w:lang w:val="zh-CN"/>
        </w:rPr>
      </w:pPr>
      <w:r>
        <w:rPr>
          <w:rFonts w:hint="eastAsia" w:ascii="宋体"/>
          <w:b/>
          <w:sz w:val="24"/>
          <w:lang w:val="zh-CN"/>
        </w:rPr>
        <w:t xml:space="preserve">一、合同文件： </w:t>
      </w:r>
    </w:p>
    <w:p w14:paraId="581482F6">
      <w:pPr>
        <w:spacing w:line="360" w:lineRule="auto"/>
        <w:ind w:firstLine="480" w:firstLineChars="200"/>
        <w:rPr>
          <w:rFonts w:ascii="宋体"/>
          <w:sz w:val="24"/>
          <w:lang w:val="zh-CN"/>
        </w:rPr>
      </w:pPr>
      <w:r>
        <w:rPr>
          <w:rFonts w:hint="eastAsia" w:ascii="宋体"/>
          <w:sz w:val="24"/>
          <w:lang w:val="zh-CN"/>
        </w:rPr>
        <w:t>（</w:t>
      </w:r>
      <w:r>
        <w:rPr>
          <w:rFonts w:hint="eastAsia" w:ascii="宋体"/>
          <w:sz w:val="24"/>
        </w:rPr>
        <w:t>一</w:t>
      </w:r>
      <w:r>
        <w:rPr>
          <w:rFonts w:hint="eastAsia" w:ascii="宋体"/>
          <w:sz w:val="24"/>
          <w:lang w:val="zh-CN"/>
        </w:rPr>
        <w:t>）合同条款。</w:t>
      </w:r>
    </w:p>
    <w:p w14:paraId="6854B5E6">
      <w:pPr>
        <w:spacing w:line="360" w:lineRule="auto"/>
        <w:ind w:firstLine="480" w:firstLineChars="200"/>
        <w:rPr>
          <w:rFonts w:ascii="宋体"/>
          <w:sz w:val="24"/>
          <w:lang w:val="zh-CN"/>
        </w:rPr>
      </w:pPr>
      <w:r>
        <w:rPr>
          <w:rFonts w:hint="eastAsia" w:ascii="宋体"/>
          <w:sz w:val="24"/>
          <w:lang w:val="zh-CN"/>
        </w:rPr>
        <w:t>（</w:t>
      </w:r>
      <w:r>
        <w:rPr>
          <w:rFonts w:hint="eastAsia" w:ascii="宋体"/>
          <w:sz w:val="24"/>
        </w:rPr>
        <w:t>二</w:t>
      </w:r>
      <w:r>
        <w:rPr>
          <w:rFonts w:hint="eastAsia" w:ascii="宋体"/>
          <w:sz w:val="24"/>
          <w:lang w:val="zh-CN"/>
        </w:rPr>
        <w:t>）</w:t>
      </w:r>
      <w:r>
        <w:rPr>
          <w:rFonts w:hint="eastAsia" w:ascii="宋体"/>
          <w:sz w:val="24"/>
        </w:rPr>
        <w:t>成交</w:t>
      </w:r>
      <w:r>
        <w:rPr>
          <w:rFonts w:hint="eastAsia" w:ascii="宋体"/>
          <w:sz w:val="24"/>
          <w:lang w:val="zh-CN"/>
        </w:rPr>
        <w:t>通知书。</w:t>
      </w:r>
    </w:p>
    <w:p w14:paraId="698E2F3D">
      <w:pPr>
        <w:spacing w:line="360" w:lineRule="auto"/>
        <w:ind w:firstLine="480" w:firstLineChars="200"/>
        <w:rPr>
          <w:rFonts w:ascii="宋体"/>
          <w:sz w:val="24"/>
          <w:lang w:val="zh-CN"/>
        </w:rPr>
      </w:pPr>
      <w:r>
        <w:rPr>
          <w:rFonts w:hint="eastAsia" w:ascii="宋体"/>
          <w:sz w:val="24"/>
          <w:lang w:val="zh-CN"/>
        </w:rPr>
        <w:t>（</w:t>
      </w:r>
      <w:r>
        <w:rPr>
          <w:rFonts w:hint="eastAsia" w:ascii="宋体"/>
          <w:sz w:val="24"/>
        </w:rPr>
        <w:t>三</w:t>
      </w:r>
      <w:r>
        <w:rPr>
          <w:rFonts w:hint="eastAsia" w:ascii="宋体"/>
          <w:sz w:val="24"/>
          <w:lang w:val="zh-CN"/>
        </w:rPr>
        <w:t>）更正补充文件。</w:t>
      </w:r>
    </w:p>
    <w:p w14:paraId="1567DB04">
      <w:pPr>
        <w:spacing w:line="360" w:lineRule="auto"/>
        <w:ind w:firstLine="480" w:firstLineChars="200"/>
        <w:rPr>
          <w:rFonts w:ascii="宋体"/>
          <w:sz w:val="24"/>
          <w:lang w:val="zh-CN"/>
        </w:rPr>
      </w:pPr>
      <w:r>
        <w:rPr>
          <w:rFonts w:hint="eastAsia" w:ascii="宋体"/>
          <w:sz w:val="24"/>
        </w:rPr>
        <w:t>（四）采购文件</w:t>
      </w:r>
      <w:r>
        <w:rPr>
          <w:rFonts w:hint="eastAsia" w:ascii="宋体"/>
          <w:sz w:val="24"/>
          <w:lang w:val="zh-CN"/>
        </w:rPr>
        <w:t>。</w:t>
      </w:r>
    </w:p>
    <w:p w14:paraId="0B981B9B">
      <w:pPr>
        <w:spacing w:line="360" w:lineRule="auto"/>
        <w:ind w:firstLine="480" w:firstLineChars="200"/>
        <w:rPr>
          <w:rFonts w:ascii="宋体"/>
          <w:sz w:val="24"/>
          <w:lang w:val="zh-CN"/>
        </w:rPr>
      </w:pPr>
      <w:r>
        <w:rPr>
          <w:rFonts w:hint="eastAsia" w:ascii="宋体"/>
          <w:sz w:val="24"/>
        </w:rPr>
        <w:t>（五）成交</w:t>
      </w:r>
      <w:r>
        <w:rPr>
          <w:rFonts w:hint="eastAsia" w:ascii="宋体"/>
          <w:sz w:val="24"/>
          <w:lang w:val="zh-CN"/>
        </w:rPr>
        <w:t>供应商</w:t>
      </w:r>
      <w:r>
        <w:rPr>
          <w:rFonts w:hint="eastAsia" w:ascii="宋体"/>
          <w:sz w:val="24"/>
        </w:rPr>
        <w:t>响应文件</w:t>
      </w:r>
      <w:r>
        <w:rPr>
          <w:rFonts w:hint="eastAsia" w:ascii="宋体"/>
          <w:sz w:val="24"/>
          <w:lang w:val="zh-CN"/>
        </w:rPr>
        <w:t>。</w:t>
      </w:r>
    </w:p>
    <w:p w14:paraId="78AEDD6D">
      <w:pPr>
        <w:spacing w:line="360" w:lineRule="auto"/>
        <w:ind w:firstLine="480" w:firstLineChars="200"/>
        <w:rPr>
          <w:rFonts w:ascii="宋体"/>
          <w:sz w:val="24"/>
          <w:lang w:val="zh-CN"/>
        </w:rPr>
      </w:pPr>
      <w:r>
        <w:rPr>
          <w:rFonts w:hint="eastAsia" w:ascii="宋体"/>
          <w:sz w:val="24"/>
          <w:lang w:val="zh-CN"/>
        </w:rPr>
        <w:t>（</w:t>
      </w:r>
      <w:r>
        <w:rPr>
          <w:rFonts w:hint="eastAsia" w:ascii="宋体"/>
          <w:sz w:val="24"/>
        </w:rPr>
        <w:t>六</w:t>
      </w:r>
      <w:r>
        <w:rPr>
          <w:rFonts w:hint="eastAsia" w:ascii="宋体"/>
          <w:sz w:val="24"/>
          <w:lang w:val="zh-CN"/>
        </w:rPr>
        <w:t>）其他。</w:t>
      </w:r>
    </w:p>
    <w:p w14:paraId="2C08001E">
      <w:pPr>
        <w:pStyle w:val="14"/>
        <w:snapToGrid w:val="0"/>
        <w:spacing w:line="360" w:lineRule="auto"/>
        <w:ind w:firstLine="480" w:firstLineChars="200"/>
        <w:rPr>
          <w:rFonts w:hAnsi="Times New Roman"/>
          <w:sz w:val="24"/>
          <w:lang w:val="zh-CN"/>
        </w:rPr>
      </w:pPr>
      <w:r>
        <w:rPr>
          <w:rFonts w:hint="eastAsia"/>
          <w:sz w:val="24"/>
          <w:lang w:val="zh-CN"/>
        </w:rPr>
        <w:t>上述所指合同文件应认为是互相补充和解释的，但是有模棱两可或互相矛盾之处，以其所列内容顺序为准。</w:t>
      </w:r>
    </w:p>
    <w:p w14:paraId="509FEFCC">
      <w:pPr>
        <w:spacing w:line="360" w:lineRule="auto"/>
        <w:ind w:firstLine="482" w:firstLineChars="200"/>
        <w:rPr>
          <w:rFonts w:ascii="宋体"/>
          <w:b/>
          <w:sz w:val="24"/>
          <w:lang w:val="zh-CN"/>
        </w:rPr>
      </w:pPr>
      <w:r>
        <w:rPr>
          <w:rFonts w:hint="eastAsia" w:ascii="宋体"/>
          <w:b/>
          <w:sz w:val="24"/>
          <w:lang w:val="zh-CN"/>
        </w:rPr>
        <w:t>二</w:t>
      </w:r>
      <w:r>
        <w:rPr>
          <w:rFonts w:ascii="宋体"/>
          <w:b/>
          <w:sz w:val="24"/>
          <w:lang w:val="zh-CN"/>
        </w:rPr>
        <w:t>、货物内容及价格</w:t>
      </w:r>
    </w:p>
    <w:p w14:paraId="308BF500">
      <w:pPr>
        <w:spacing w:line="360" w:lineRule="auto"/>
        <w:ind w:firstLine="480" w:firstLineChars="200"/>
        <w:rPr>
          <w:rFonts w:ascii="宋体" w:hAnsi="宋体" w:cs="宋体"/>
          <w:kern w:val="0"/>
          <w:sz w:val="24"/>
          <w:szCs w:val="21"/>
        </w:rPr>
      </w:pPr>
      <w:r>
        <w:rPr>
          <w:rFonts w:hint="eastAsia" w:ascii="宋体" w:hAnsi="宋体" w:cs="宋体"/>
          <w:kern w:val="0"/>
          <w:sz w:val="24"/>
          <w:szCs w:val="21"/>
        </w:rPr>
        <w:t>（一）货物内容及综合单价</w:t>
      </w:r>
    </w:p>
    <w:p w14:paraId="230CF3D2">
      <w:pPr>
        <w:spacing w:line="360" w:lineRule="auto"/>
        <w:ind w:firstLine="480" w:firstLineChars="200"/>
        <w:rPr>
          <w:rFonts w:ascii="宋体" w:hAnsi="宋体" w:cs="宋体"/>
          <w:kern w:val="0"/>
          <w:sz w:val="24"/>
          <w:szCs w:val="21"/>
        </w:rPr>
      </w:pPr>
      <w:r>
        <w:rPr>
          <w:rFonts w:hint="eastAsia" w:ascii="宋体" w:hAnsi="宋体" w:cs="宋体"/>
          <w:kern w:val="0"/>
          <w:sz w:val="24"/>
          <w:szCs w:val="21"/>
        </w:rPr>
        <w:t>详见《年度广告制作服务项目采购清单》（另册提供）。</w:t>
      </w:r>
    </w:p>
    <w:p w14:paraId="2537145B">
      <w:pPr>
        <w:spacing w:line="360" w:lineRule="auto"/>
        <w:ind w:firstLine="480" w:firstLineChars="200"/>
        <w:rPr>
          <w:rFonts w:ascii="宋体" w:hAnsi="宋体" w:cs="宋体"/>
          <w:kern w:val="0"/>
          <w:sz w:val="24"/>
          <w:szCs w:val="21"/>
        </w:rPr>
      </w:pPr>
      <w:r>
        <w:rPr>
          <w:rFonts w:hint="eastAsia" w:ascii="宋体" w:hAnsi="宋体" w:cs="宋体"/>
          <w:kern w:val="0"/>
          <w:sz w:val="24"/>
          <w:szCs w:val="21"/>
        </w:rPr>
        <w:t>（二）合同结算率</w:t>
      </w:r>
    </w:p>
    <w:p w14:paraId="148FC5FE">
      <w:pPr>
        <w:spacing w:line="360" w:lineRule="auto"/>
        <w:ind w:firstLine="480" w:firstLineChars="200"/>
        <w:rPr>
          <w:rFonts w:ascii="宋体" w:hAnsi="宋体" w:cs="宋体"/>
          <w:kern w:val="0"/>
          <w:sz w:val="24"/>
          <w:szCs w:val="21"/>
        </w:rPr>
      </w:pPr>
      <w:r>
        <w:rPr>
          <w:rFonts w:hint="eastAsia" w:ascii="宋体" w:hAnsi="宋体" w:cs="宋体"/>
          <w:kern w:val="0"/>
          <w:sz w:val="24"/>
          <w:szCs w:val="21"/>
        </w:rPr>
        <w:t>本合同结算率为</w:t>
      </w:r>
      <w:r>
        <w:rPr>
          <w:rFonts w:hint="eastAsia" w:ascii="宋体" w:hAnsi="宋体" w:cs="宋体"/>
          <w:kern w:val="0"/>
          <w:sz w:val="24"/>
          <w:szCs w:val="21"/>
          <w:u w:val="single"/>
        </w:rPr>
        <w:t xml:space="preserve">       </w:t>
      </w:r>
      <w:r>
        <w:rPr>
          <w:rFonts w:hint="eastAsia" w:ascii="宋体" w:hAnsi="宋体" w:cs="宋体"/>
          <w:kern w:val="0"/>
          <w:sz w:val="24"/>
          <w:szCs w:val="21"/>
        </w:rPr>
        <w:t>%（百分号前小数点后保留二位小数，第三位四舍五入）</w:t>
      </w:r>
      <w:r>
        <w:rPr>
          <w:rFonts w:hint="eastAsia" w:ascii="宋体" w:hAnsi="宋体" w:cs="宋体"/>
          <w:b/>
          <w:kern w:val="0"/>
          <w:sz w:val="24"/>
          <w:szCs w:val="21"/>
        </w:rPr>
        <w:t>。</w:t>
      </w:r>
    </w:p>
    <w:p w14:paraId="5B0DE15F">
      <w:pPr>
        <w:spacing w:line="360" w:lineRule="auto"/>
        <w:ind w:firstLine="482" w:firstLineChars="200"/>
        <w:rPr>
          <w:rFonts w:ascii="宋体" w:hAnsi="宋体" w:cs="宋体"/>
          <w:kern w:val="0"/>
          <w:sz w:val="24"/>
          <w:szCs w:val="21"/>
        </w:rPr>
      </w:pPr>
      <w:r>
        <w:rPr>
          <w:rFonts w:hint="eastAsia" w:ascii="宋体" w:hAnsi="宋体" w:cs="宋体"/>
          <w:b/>
          <w:kern w:val="0"/>
          <w:sz w:val="24"/>
          <w:szCs w:val="21"/>
        </w:rPr>
        <w:t>注：</w:t>
      </w:r>
      <w:r>
        <w:rPr>
          <w:rFonts w:hint="eastAsia" w:ascii="宋体" w:hAnsi="宋体" w:cs="宋体"/>
          <w:kern w:val="0"/>
          <w:sz w:val="24"/>
          <w:szCs w:val="21"/>
        </w:rPr>
        <w:t>（1）清单综合单价是合同所确定的采购范围内全部工作内容的价格表现。其应包括采购清单内的所有项目设计、排版、材料价（纸张、耗材等）、制作、送货、安装、税费、人工、管理费等一切费用。</w:t>
      </w:r>
    </w:p>
    <w:p w14:paraId="10FD43F1">
      <w:pPr>
        <w:spacing w:line="360" w:lineRule="auto"/>
        <w:ind w:firstLine="480" w:firstLineChars="200"/>
        <w:rPr>
          <w:rFonts w:ascii="宋体" w:hAnsi="宋体" w:cs="宋体"/>
          <w:kern w:val="0"/>
          <w:sz w:val="24"/>
          <w:szCs w:val="21"/>
        </w:rPr>
      </w:pPr>
      <w:r>
        <w:rPr>
          <w:rFonts w:hint="eastAsia" w:ascii="宋体" w:hAnsi="宋体" w:cs="宋体"/>
          <w:kern w:val="0"/>
          <w:sz w:val="24"/>
          <w:szCs w:val="21"/>
        </w:rPr>
        <w:t>（2）本合同结算时按采购清单各项目综合单价乘以成交结算率、经审定的供货数量计取[</w:t>
      </w:r>
      <w:r>
        <w:rPr>
          <w:rFonts w:hint="eastAsia" w:ascii="宋体" w:hAnsi="宋体" w:cs="宋体"/>
          <w:b/>
          <w:kern w:val="0"/>
          <w:sz w:val="24"/>
          <w:szCs w:val="21"/>
        </w:rPr>
        <w:t>结算单价=清单综合单价</w:t>
      </w:r>
      <w:r>
        <w:rPr>
          <w:rFonts w:ascii="宋体" w:hAnsi="宋体" w:cs="宋体"/>
          <w:b/>
          <w:kern w:val="0"/>
          <w:sz w:val="24"/>
          <w:szCs w:val="21"/>
        </w:rPr>
        <w:t>×</w:t>
      </w:r>
      <w:r>
        <w:rPr>
          <w:rFonts w:hint="eastAsia" w:ascii="宋体" w:hAnsi="宋体" w:cs="宋体"/>
          <w:b/>
          <w:kern w:val="0"/>
          <w:sz w:val="24"/>
          <w:szCs w:val="21"/>
        </w:rPr>
        <w:t>经审定的供货数量</w:t>
      </w:r>
      <w:r>
        <w:rPr>
          <w:rFonts w:ascii="宋体" w:hAnsi="宋体" w:cs="宋体"/>
          <w:b/>
          <w:kern w:val="0"/>
          <w:sz w:val="24"/>
          <w:szCs w:val="21"/>
        </w:rPr>
        <w:t>×</w:t>
      </w:r>
      <w:r>
        <w:rPr>
          <w:rFonts w:hint="eastAsia" w:ascii="宋体" w:hAnsi="宋体" w:cs="宋体"/>
          <w:b/>
          <w:kern w:val="0"/>
          <w:sz w:val="24"/>
          <w:szCs w:val="21"/>
        </w:rPr>
        <w:t>合同结算率（即成交结算率）]</w:t>
      </w:r>
      <w:r>
        <w:rPr>
          <w:rFonts w:hint="eastAsia" w:ascii="宋体" w:hAnsi="宋体" w:cs="宋体"/>
          <w:kern w:val="0"/>
          <w:sz w:val="24"/>
          <w:szCs w:val="21"/>
        </w:rPr>
        <w:t>，合同期内清单综合单价、合同结算率（即成交结算率）不进行调整。</w:t>
      </w:r>
    </w:p>
    <w:p w14:paraId="70E33A34">
      <w:pPr>
        <w:spacing w:line="360" w:lineRule="auto"/>
        <w:ind w:firstLine="482" w:firstLineChars="200"/>
        <w:rPr>
          <w:rFonts w:ascii="宋体"/>
          <w:b/>
          <w:sz w:val="24"/>
          <w:lang w:val="zh-CN"/>
        </w:rPr>
      </w:pPr>
      <w:r>
        <w:rPr>
          <w:rFonts w:ascii="宋体"/>
          <w:b/>
          <w:sz w:val="24"/>
          <w:lang w:val="zh-CN"/>
        </w:rPr>
        <w:t>三、服务要求</w:t>
      </w:r>
    </w:p>
    <w:p w14:paraId="6EBD3782">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（一）乙方必须严格按照甲方的要求进行设计、制作、安装和维护。</w:t>
      </w:r>
    </w:p>
    <w:p w14:paraId="7CC03D7C">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（二）甲方对乙方提供的版面内容有权提出修改意见，乙方应根据甲方的要求进行修改，并不得因此增加结算费用；若因乙方设计未能达到甲方需求，此项目视为失败，甲方无需向乙方支付任何费用。</w:t>
      </w:r>
    </w:p>
    <w:p w14:paraId="3F5DE9F4">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（三）所有</w:t>
      </w:r>
      <w:r>
        <w:rPr>
          <w:rFonts w:hint="eastAsia" w:ascii="宋体"/>
          <w:sz w:val="24"/>
          <w:lang w:val="zh-CN"/>
        </w:rPr>
        <w:t>广告</w:t>
      </w:r>
      <w:r>
        <w:rPr>
          <w:rFonts w:hint="eastAsia" w:asciiTheme="minorEastAsia" w:hAnsiTheme="minorEastAsia" w:eastAsiaTheme="minorEastAsia"/>
          <w:kern w:val="0"/>
          <w:sz w:val="24"/>
        </w:rPr>
        <w:t>制品必须在正式制作前向甲方提交设计定稿，经甲方修改认定后提交定稿由甲方签字确认。甲方有权要求乙方提供样品。</w:t>
      </w:r>
    </w:p>
    <w:p w14:paraId="1BA6C5AC">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w:t>
      </w:r>
      <w:r>
        <w:rPr>
          <w:rFonts w:hint="eastAsia" w:hAnsi="宋体" w:cs="宋体"/>
          <w:sz w:val="24"/>
        </w:rPr>
        <w:t>所有</w:t>
      </w:r>
      <w:r>
        <w:rPr>
          <w:rFonts w:hint="eastAsia" w:ascii="宋体"/>
          <w:sz w:val="24"/>
          <w:lang w:val="zh-CN"/>
        </w:rPr>
        <w:t>广告</w:t>
      </w:r>
      <w:r>
        <w:rPr>
          <w:rFonts w:hint="eastAsia" w:asciiTheme="minorEastAsia" w:hAnsiTheme="minorEastAsia" w:eastAsiaTheme="minorEastAsia"/>
          <w:sz w:val="24"/>
        </w:rPr>
        <w:t>制品</w:t>
      </w:r>
      <w:r>
        <w:rPr>
          <w:rFonts w:hint="eastAsia" w:hAnsi="宋体" w:cs="宋体"/>
          <w:sz w:val="24"/>
        </w:rPr>
        <w:t>所用到的材料、工艺、制作的成品质量必须符合行业标准，产品符合甲方要求，油墨均匀一致、文字清晰、画面清楚、图案色彩鲜艳；所用纸张符合甲方需求；版面平整干净，没有污渍、脏点、糊版及不正常显色等现象，胶头或胶边整齐一致，不得有毛边，尺寸准确；在运输、贮存过程中不允许扔、砸、踏，不得受雨雪或液体物质的淋袭和机械损伤；安装须端正、美观、安全、牢固，户外成品应有良好的防湿、防锈、防潮、防雨、防腐等措施。</w:t>
      </w:r>
    </w:p>
    <w:p w14:paraId="02DD0592">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（五）</w:t>
      </w:r>
      <w:r>
        <w:rPr>
          <w:rFonts w:hint="eastAsia" w:hAnsi="宋体" w:cs="宋体"/>
          <w:sz w:val="24"/>
        </w:rPr>
        <w:t>合同履行期间应保证</w:t>
      </w:r>
      <w:r>
        <w:rPr>
          <w:rFonts w:hint="eastAsia" w:asciiTheme="minorEastAsia" w:hAnsiTheme="minorEastAsia" w:eastAsiaTheme="minorEastAsia"/>
          <w:sz w:val="24"/>
        </w:rPr>
        <w:t>广告制品</w:t>
      </w:r>
      <w:r>
        <w:rPr>
          <w:rFonts w:hint="eastAsia" w:hAnsi="宋体" w:cs="宋体"/>
          <w:sz w:val="24"/>
        </w:rPr>
        <w:t>所用材料是合格正品且是未使用过的，并完全符合质量和性能的要求；对于本项目的技术、工艺或材料缺陷以及其他，因乙方的原因造成的任何不足由乙方负责，费用由乙方全部承担。</w:t>
      </w:r>
    </w:p>
    <w:p w14:paraId="767250EB">
      <w:pPr>
        <w:pStyle w:val="28"/>
        <w:spacing w:after="0" w:line="360" w:lineRule="auto"/>
        <w:ind w:firstLine="480" w:firstLineChars="200"/>
        <w:rPr>
          <w:rFonts w:hAnsi="宋体" w:cs="宋体"/>
          <w:kern w:val="2"/>
          <w:sz w:val="24"/>
          <w:szCs w:val="22"/>
        </w:rPr>
      </w:pPr>
      <w:r>
        <w:rPr>
          <w:rFonts w:hint="eastAsia" w:hAnsi="宋体" w:cs="宋体"/>
          <w:kern w:val="2"/>
          <w:sz w:val="24"/>
          <w:szCs w:val="22"/>
        </w:rPr>
        <w:t>（六）乙方每季度对帐须提供效果图、签字单（经甲方签章的</w:t>
      </w:r>
      <w:r>
        <w:rPr>
          <w:rFonts w:hint="eastAsia" w:asciiTheme="minorEastAsia" w:hAnsiTheme="minorEastAsia" w:eastAsiaTheme="minorEastAsia"/>
          <w:sz w:val="24"/>
        </w:rPr>
        <w:t>验收合格证明书）</w:t>
      </w:r>
      <w:r>
        <w:rPr>
          <w:rFonts w:hint="eastAsia" w:hAnsi="宋体" w:cs="宋体"/>
          <w:kern w:val="2"/>
          <w:sz w:val="24"/>
          <w:szCs w:val="22"/>
        </w:rPr>
        <w:t>，保证相关广告物料制作的真实性及安装后售后服务；项目安装后需提供现场安装好的照片，确保项目顺利完成。</w:t>
      </w:r>
    </w:p>
    <w:p w14:paraId="06CE3DAF">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（七）交货要求</w:t>
      </w:r>
    </w:p>
    <w:p w14:paraId="0E2B164F">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hint="eastAsia" w:hAnsi="宋体" w:cs="宋体"/>
          <w:sz w:val="24"/>
        </w:rPr>
        <w:t xml:space="preserve"> 常规项目制作时长：5个工作日以内（自甲方提出需求至完成安装）；紧急项目制作时长：根据甲方提出的具体事情和规定时间而定，不得因加班而拒绝项目完成。</w:t>
      </w:r>
    </w:p>
    <w:p w14:paraId="026E9766">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2.</w:t>
      </w:r>
      <w:r>
        <w:rPr>
          <w:rFonts w:hint="eastAsia" w:ascii="宋体"/>
          <w:sz w:val="24"/>
          <w:lang w:val="zh-CN"/>
        </w:rPr>
        <w:t>乙方</w:t>
      </w:r>
      <w:r>
        <w:rPr>
          <w:rFonts w:hint="eastAsia" w:asciiTheme="minorEastAsia" w:hAnsiTheme="minorEastAsia" w:eastAsiaTheme="minorEastAsia"/>
          <w:kern w:val="0"/>
          <w:sz w:val="24"/>
        </w:rPr>
        <w:t>须按甲方要求对宣传品进行送货、安装，乙方在送货、安装后，应由甲方在送货单或验收证明上签字确认。</w:t>
      </w:r>
    </w:p>
    <w:p w14:paraId="28609EE2">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3.</w:t>
      </w:r>
      <w:r>
        <w:rPr>
          <w:rFonts w:hint="eastAsia" w:ascii="宋体"/>
          <w:sz w:val="24"/>
          <w:lang w:val="zh-CN"/>
        </w:rPr>
        <w:t>乙方</w:t>
      </w:r>
      <w:r>
        <w:rPr>
          <w:rFonts w:hint="eastAsia" w:asciiTheme="minorEastAsia" w:hAnsiTheme="minorEastAsia" w:eastAsiaTheme="minorEastAsia"/>
          <w:kern w:val="0"/>
          <w:sz w:val="24"/>
        </w:rPr>
        <w:t>要确保宣传品安装安全、牢固，安装工作人员的安全保障及安装工作中的一切安全责任均由乙方承担。</w:t>
      </w:r>
    </w:p>
    <w:p w14:paraId="4D0D1A12">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（八）服务</w:t>
      </w:r>
      <w:r>
        <w:rPr>
          <w:rFonts w:hint="eastAsia" w:ascii="宋体"/>
          <w:sz w:val="24"/>
          <w:lang w:val="zh-CN"/>
        </w:rPr>
        <w:t>原则</w:t>
      </w:r>
    </w:p>
    <w:p w14:paraId="4DB59128">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hint="eastAsia" w:ascii="宋体"/>
          <w:sz w:val="24"/>
          <w:lang w:val="zh-CN"/>
        </w:rPr>
        <w:t>乙方</w:t>
      </w:r>
      <w:r>
        <w:rPr>
          <w:rFonts w:hint="eastAsia" w:asciiTheme="minorEastAsia" w:hAnsiTheme="minorEastAsia" w:eastAsiaTheme="minorEastAsia"/>
          <w:kern w:val="0"/>
          <w:sz w:val="24"/>
        </w:rPr>
        <w:t>所提供的服务内容应当遵纪守法，不违背相关政策及行政法规，遵循公平、诚实信用的原则，符合社会主义精神文明建设的基本要求。所有设计作品的内容要做到思想健康、品质优良。</w:t>
      </w:r>
    </w:p>
    <w:p w14:paraId="7F16FAFB">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2.如出现特殊情况需要乙方配合甲方按时完成服务内容的，乙方应无条件服从并积极配合甲方的工作安排。</w:t>
      </w:r>
    </w:p>
    <w:p w14:paraId="0AA8772F">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3.合同签订后，甲方不对乙方承诺实际承接业务量，乙方须积极配合，不得拒绝，并在甲方要求的时间内完成广告制作等任务，否则视为乙方违约，甲方有权终止合同。</w:t>
      </w:r>
    </w:p>
    <w:p w14:paraId="6992D1BD">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4.为便于与甲方就活动细节等方面进行适时沟通联系、及时处理和反馈，并使项目按质、按量、按时、有序实施，乙方应保证</w:t>
      </w:r>
      <w:r>
        <w:rPr>
          <w:rFonts w:hint="eastAsia" w:hAnsi="宋体" w:cs="宋体"/>
          <w:sz w:val="24"/>
        </w:rPr>
        <w:t>安排1-2名设计师专门对接。</w:t>
      </w:r>
    </w:p>
    <w:p w14:paraId="72383E33">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5.</w:t>
      </w:r>
      <w:r>
        <w:rPr>
          <w:rFonts w:hint="eastAsia" w:ascii="宋体"/>
          <w:sz w:val="24"/>
          <w:lang w:val="zh-CN"/>
        </w:rPr>
        <w:t>乙方</w:t>
      </w:r>
      <w:r>
        <w:rPr>
          <w:rFonts w:hint="eastAsia" w:asciiTheme="minorEastAsia" w:hAnsiTheme="minorEastAsia" w:eastAsiaTheme="minorEastAsia"/>
          <w:kern w:val="0"/>
          <w:sz w:val="24"/>
        </w:rPr>
        <w:t>不得将承接的业务对外转包，不得以任何理由违反质量标准，降低作业质量。</w:t>
      </w:r>
    </w:p>
    <w:p w14:paraId="54EB63E0">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6.广告内容必须符合中华人民共和国《广告法》，甲方提供画面内容，设计样稿经甲方审核确认后，乙方负责制作、安装、发布。</w:t>
      </w:r>
    </w:p>
    <w:p w14:paraId="58A6850D">
      <w:pPr>
        <w:spacing w:line="360" w:lineRule="auto"/>
        <w:ind w:firstLine="482" w:firstLineChars="200"/>
        <w:rPr>
          <w:rFonts w:ascii="宋体"/>
          <w:b/>
          <w:sz w:val="24"/>
          <w:lang w:val="zh-CN"/>
        </w:rPr>
      </w:pPr>
      <w:r>
        <w:rPr>
          <w:rFonts w:ascii="宋体"/>
          <w:b/>
          <w:sz w:val="24"/>
          <w:lang w:val="zh-CN"/>
        </w:rPr>
        <w:t>四、知识产权</w:t>
      </w:r>
    </w:p>
    <w:p w14:paraId="708D4E3C">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（一）乙方向甲方交付的项目作品及相关知识产权成果，不能侵犯他人肖像权、著作权、商标权、外观专利、企业名称（含企业字号、商号、标识）等合法、在先的知识产权、民事权利。</w:t>
      </w:r>
    </w:p>
    <w:p w14:paraId="0E34B56C">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（二）乙方应保证甲方不受到第三方关于知识产权侵权的指控，任何第三方如果提出侵权指控，乙方应与第三方交涉并承担可能发生的一切法律责任，并赔偿甲方由此而产生一切的相关经济损失。</w:t>
      </w:r>
    </w:p>
    <w:p w14:paraId="09595151">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（三）</w:t>
      </w:r>
      <w:r>
        <w:rPr>
          <w:rFonts w:hint="eastAsia" w:ascii="宋体"/>
          <w:sz w:val="24"/>
          <w:lang w:val="zh-CN"/>
        </w:rPr>
        <w:t>乙方</w:t>
      </w:r>
      <w:r>
        <w:rPr>
          <w:rFonts w:hint="eastAsia" w:asciiTheme="minorEastAsia" w:hAnsiTheme="minorEastAsia" w:eastAsiaTheme="minorEastAsia"/>
          <w:kern w:val="0"/>
          <w:sz w:val="24"/>
        </w:rPr>
        <w:t>履行本合同期间所产生的知识产权成果及其权利归属仅归甲方一方所有，甲方有权通过任何媒体永久性免费使用。乙方不享有上述任何知识产权权利，不得自行实施或者使用，也不得将本合同项下的上述相关知识产权泄露、转让或者许可给第三方，不得对外披露或者公布。</w:t>
      </w:r>
    </w:p>
    <w:p w14:paraId="055DA55F">
      <w:pPr>
        <w:spacing w:line="360" w:lineRule="auto"/>
        <w:ind w:firstLine="482" w:firstLineChars="200"/>
        <w:rPr>
          <w:rFonts w:ascii="宋体"/>
          <w:b/>
          <w:sz w:val="24"/>
          <w:lang w:val="zh-CN"/>
        </w:rPr>
      </w:pPr>
      <w:r>
        <w:rPr>
          <w:rFonts w:ascii="宋体"/>
          <w:b/>
          <w:sz w:val="24"/>
          <w:lang w:val="zh-CN"/>
        </w:rPr>
        <w:t>五、履约保证金</w:t>
      </w:r>
    </w:p>
    <w:p w14:paraId="35D030C4">
      <w:pPr>
        <w:spacing w:line="360" w:lineRule="auto"/>
        <w:ind w:firstLine="480" w:firstLineChars="200"/>
        <w:rPr>
          <w:rFonts w:asciiTheme="minorEastAsia" w:hAnsiTheme="minorEastAsia" w:eastAsiaTheme="minorEastAsia" w:cstheme="minorBidi"/>
          <w:sz w:val="24"/>
        </w:rPr>
      </w:pPr>
      <w:r>
        <w:rPr>
          <w:rFonts w:asciiTheme="minorEastAsia" w:hAnsiTheme="minorEastAsia" w:eastAsiaTheme="minorEastAsia" w:cstheme="minorBidi"/>
          <w:sz w:val="24"/>
        </w:rPr>
        <w:t>本项目不设履约保证金。</w:t>
      </w:r>
    </w:p>
    <w:p w14:paraId="0DD8FA7D">
      <w:pPr>
        <w:spacing w:line="360" w:lineRule="auto"/>
        <w:ind w:firstLine="482" w:firstLineChars="200"/>
        <w:rPr>
          <w:rFonts w:ascii="宋体"/>
          <w:b/>
          <w:sz w:val="24"/>
          <w:lang w:val="zh-CN"/>
        </w:rPr>
      </w:pPr>
      <w:r>
        <w:rPr>
          <w:rFonts w:hint="eastAsia" w:ascii="宋体"/>
          <w:b/>
          <w:sz w:val="24"/>
          <w:lang w:val="zh-CN"/>
        </w:rPr>
        <w:t>六、转包或分包</w:t>
      </w:r>
    </w:p>
    <w:p w14:paraId="76A6C255">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（一）本合同范围的货物，应由</w:t>
      </w:r>
      <w:r>
        <w:rPr>
          <w:rFonts w:asciiTheme="minorEastAsia" w:hAnsiTheme="minorEastAsia" w:eastAsiaTheme="minorEastAsia"/>
          <w:sz w:val="24"/>
        </w:rPr>
        <w:t>乙</w:t>
      </w:r>
      <w:r>
        <w:rPr>
          <w:rFonts w:hint="eastAsia" w:asciiTheme="minorEastAsia" w:hAnsiTheme="minorEastAsia" w:eastAsiaTheme="minorEastAsia"/>
          <w:sz w:val="24"/>
        </w:rPr>
        <w:t>方直接供应，不得转让他人供应；</w:t>
      </w:r>
    </w:p>
    <w:p w14:paraId="7DEF41AA">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乙</w:t>
      </w:r>
      <w:r>
        <w:rPr>
          <w:rFonts w:hint="eastAsia" w:asciiTheme="minorEastAsia" w:hAnsiTheme="minorEastAsia" w:eastAsiaTheme="minorEastAsia"/>
          <w:sz w:val="24"/>
        </w:rPr>
        <w:t>方不得将本合同范围的货物全部或部分分包给他人供应；</w:t>
      </w:r>
    </w:p>
    <w:p w14:paraId="7751217A">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（三）如有转让和分包行为，</w:t>
      </w:r>
      <w:r>
        <w:rPr>
          <w:rFonts w:asciiTheme="minorEastAsia" w:hAnsiTheme="minorEastAsia" w:eastAsiaTheme="minorEastAsia"/>
          <w:sz w:val="24"/>
        </w:rPr>
        <w:t>甲</w:t>
      </w:r>
      <w:r>
        <w:rPr>
          <w:rFonts w:hint="eastAsia" w:asciiTheme="minorEastAsia" w:hAnsiTheme="minorEastAsia" w:eastAsiaTheme="minorEastAsia"/>
          <w:sz w:val="24"/>
        </w:rPr>
        <w:t>方有权解除合同并追究乙方的违约责任。</w:t>
      </w:r>
    </w:p>
    <w:p w14:paraId="26CA1C5E">
      <w:pPr>
        <w:spacing w:line="360" w:lineRule="auto"/>
        <w:ind w:firstLine="482" w:firstLineChars="200"/>
        <w:rPr>
          <w:rFonts w:ascii="宋体"/>
          <w:b/>
          <w:sz w:val="24"/>
          <w:lang w:val="zh-CN"/>
        </w:rPr>
      </w:pPr>
      <w:r>
        <w:rPr>
          <w:rFonts w:ascii="宋体"/>
          <w:b/>
          <w:sz w:val="24"/>
          <w:lang w:val="zh-CN"/>
        </w:rPr>
        <w:t>七、货款支付</w:t>
      </w:r>
    </w:p>
    <w:p w14:paraId="16CA4122">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kern w:val="0"/>
          <w:sz w:val="24"/>
          <w:szCs w:val="21"/>
        </w:rPr>
      </w:pPr>
      <w:r>
        <w:rPr>
          <w:rFonts w:hint="eastAsia" w:ascii="宋体" w:hAnsi="宋体" w:cs="宋体"/>
          <w:kern w:val="0"/>
          <w:sz w:val="24"/>
          <w:szCs w:val="21"/>
        </w:rPr>
        <w:t>本项目合同每季度结算一次，以甲方提供的采购清单各项目综合单价为基准价，乘以合同结算率（即成交结算率）及经甲方审定的供货数量进行结算。</w:t>
      </w:r>
    </w:p>
    <w:p w14:paraId="477499DE">
      <w:pPr>
        <w:tabs>
          <w:tab w:val="left" w:pos="720"/>
          <w:tab w:val="left" w:pos="1260"/>
          <w:tab w:val="left" w:pos="2160"/>
          <w:tab w:val="left" w:pos="2880"/>
          <w:tab w:val="left" w:pos="3600"/>
          <w:tab w:val="left" w:pos="4320"/>
          <w:tab w:val="left" w:pos="5040"/>
          <w:tab w:val="left" w:pos="5760"/>
          <w:tab w:val="left" w:pos="6300"/>
        </w:tabs>
        <w:autoSpaceDE w:val="0"/>
        <w:autoSpaceDN w:val="0"/>
        <w:adjustRightInd w:val="0"/>
        <w:spacing w:line="360" w:lineRule="auto"/>
        <w:ind w:right="25" w:firstLine="720"/>
        <w:jc w:val="left"/>
        <w:rPr>
          <w:rFonts w:ascii="宋体" w:hAnsi="宋体" w:cs="宋体"/>
          <w:b/>
          <w:kern w:val="0"/>
          <w:sz w:val="24"/>
          <w:szCs w:val="21"/>
        </w:rPr>
      </w:pPr>
      <w:r>
        <w:rPr>
          <w:rFonts w:hint="eastAsia" w:ascii="宋体" w:hAnsi="宋体" w:cs="宋体"/>
          <w:b/>
          <w:kern w:val="0"/>
          <w:sz w:val="24"/>
          <w:szCs w:val="21"/>
        </w:rPr>
        <w:t>即：结算价</w:t>
      </w:r>
      <w:r>
        <w:rPr>
          <w:rFonts w:ascii="宋体" w:hAnsi="宋体" w:cs="宋体"/>
          <w:b/>
          <w:kern w:val="0"/>
          <w:sz w:val="24"/>
          <w:szCs w:val="21"/>
        </w:rPr>
        <w:t>=</w:t>
      </w:r>
      <w:r>
        <w:rPr>
          <w:rFonts w:hint="eastAsia" w:ascii="宋体" w:hAnsi="宋体" w:cs="宋体"/>
          <w:b/>
          <w:kern w:val="0"/>
          <w:sz w:val="24"/>
          <w:szCs w:val="21"/>
        </w:rPr>
        <w:t>∑</w:t>
      </w:r>
      <w:r>
        <w:rPr>
          <w:rFonts w:ascii="宋体" w:hAnsi="宋体" w:cs="宋体"/>
          <w:b/>
          <w:kern w:val="0"/>
          <w:sz w:val="24"/>
          <w:szCs w:val="21"/>
        </w:rPr>
        <w:t>（清单</w:t>
      </w:r>
      <w:r>
        <w:rPr>
          <w:rFonts w:hint="eastAsia" w:ascii="宋体" w:hAnsi="宋体" w:cs="宋体"/>
          <w:b/>
          <w:kern w:val="0"/>
          <w:sz w:val="24"/>
          <w:szCs w:val="21"/>
        </w:rPr>
        <w:t>综合单价</w:t>
      </w:r>
      <w:r>
        <w:rPr>
          <w:rFonts w:ascii="宋体" w:hAnsi="宋体" w:cs="宋体"/>
          <w:b/>
          <w:kern w:val="0"/>
          <w:sz w:val="24"/>
          <w:szCs w:val="21"/>
        </w:rPr>
        <w:t>×审定供货数量×合同</w:t>
      </w:r>
      <w:r>
        <w:rPr>
          <w:rFonts w:hint="eastAsia" w:ascii="宋体" w:hAnsi="宋体" w:cs="宋体"/>
          <w:b/>
          <w:kern w:val="0"/>
          <w:sz w:val="24"/>
          <w:szCs w:val="21"/>
        </w:rPr>
        <w:t>结算率</w:t>
      </w:r>
      <w:r>
        <w:rPr>
          <w:rFonts w:ascii="宋体" w:hAnsi="宋体" w:cs="宋体"/>
          <w:b/>
          <w:kern w:val="0"/>
          <w:sz w:val="24"/>
          <w:szCs w:val="21"/>
        </w:rPr>
        <w:t>）</w:t>
      </w:r>
    </w:p>
    <w:p w14:paraId="42C16B6D">
      <w:pPr>
        <w:spacing w:line="360" w:lineRule="auto"/>
        <w:ind w:firstLine="482" w:firstLineChars="200"/>
        <w:rPr>
          <w:rFonts w:ascii="宋体"/>
          <w:b/>
          <w:sz w:val="24"/>
          <w:lang w:val="zh-CN"/>
        </w:rPr>
      </w:pPr>
      <w:r>
        <w:rPr>
          <w:rFonts w:hint="eastAsia" w:ascii="宋体"/>
          <w:b/>
          <w:sz w:val="24"/>
          <w:lang w:val="zh-CN"/>
        </w:rPr>
        <w:t>八、税费</w:t>
      </w:r>
    </w:p>
    <w:p w14:paraId="13639585">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w:t>
      </w:r>
      <w:r>
        <w:rPr>
          <w:rFonts w:hint="eastAsia" w:ascii="宋体"/>
          <w:sz w:val="24"/>
          <w:lang w:val="zh-CN"/>
        </w:rPr>
        <w:t>执行</w:t>
      </w:r>
      <w:r>
        <w:rPr>
          <w:rFonts w:hint="eastAsia" w:asciiTheme="minorEastAsia" w:hAnsiTheme="minorEastAsia" w:eastAsiaTheme="minorEastAsia"/>
          <w:sz w:val="24"/>
        </w:rPr>
        <w:t>中相关的一切税费均由</w:t>
      </w:r>
      <w:r>
        <w:rPr>
          <w:rFonts w:asciiTheme="minorEastAsia" w:hAnsiTheme="minorEastAsia" w:eastAsiaTheme="minorEastAsia"/>
          <w:sz w:val="24"/>
        </w:rPr>
        <w:t>乙</w:t>
      </w:r>
      <w:r>
        <w:rPr>
          <w:rFonts w:hint="eastAsia" w:asciiTheme="minorEastAsia" w:hAnsiTheme="minorEastAsia" w:eastAsiaTheme="minorEastAsia"/>
          <w:sz w:val="24"/>
        </w:rPr>
        <w:t>方负担。</w:t>
      </w:r>
    </w:p>
    <w:p w14:paraId="159F7F94">
      <w:pPr>
        <w:spacing w:line="360" w:lineRule="auto"/>
        <w:ind w:firstLine="482" w:firstLineChars="200"/>
        <w:rPr>
          <w:rFonts w:ascii="宋体"/>
          <w:b/>
          <w:sz w:val="24"/>
          <w:lang w:val="zh-CN"/>
        </w:rPr>
      </w:pPr>
      <w:r>
        <w:rPr>
          <w:rFonts w:ascii="宋体"/>
          <w:b/>
          <w:sz w:val="24"/>
          <w:lang w:val="zh-CN"/>
        </w:rPr>
        <w:t>九、质量保证及售后服务</w:t>
      </w:r>
    </w:p>
    <w:p w14:paraId="41E6510B">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（一）乙方应提供三包服务，服务方式均为上门服务。即由服务单位派员收回、维修、维护、</w:t>
      </w:r>
      <w:r>
        <w:rPr>
          <w:rFonts w:hint="eastAsia" w:ascii="宋体"/>
          <w:sz w:val="24"/>
          <w:lang w:val="zh-CN"/>
        </w:rPr>
        <w:t>送货</w:t>
      </w:r>
      <w:r>
        <w:rPr>
          <w:rFonts w:hint="eastAsia" w:asciiTheme="minorEastAsia" w:hAnsiTheme="minorEastAsia" w:eastAsiaTheme="minorEastAsia"/>
          <w:kern w:val="0"/>
          <w:sz w:val="24"/>
        </w:rPr>
        <w:t>，由此产生的一切费用均由乙方承担。</w:t>
      </w:r>
    </w:p>
    <w:p w14:paraId="4EDF5922">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（二）乙方</w:t>
      </w:r>
      <w:r>
        <w:rPr>
          <w:rFonts w:hint="eastAsia" w:ascii="宋体"/>
          <w:sz w:val="24"/>
          <w:lang w:val="zh-CN"/>
        </w:rPr>
        <w:t>负责</w:t>
      </w:r>
      <w:r>
        <w:rPr>
          <w:rFonts w:hint="eastAsia" w:asciiTheme="minorEastAsia" w:hAnsiTheme="minorEastAsia" w:eastAsiaTheme="minorEastAsia"/>
          <w:kern w:val="0"/>
          <w:sz w:val="24"/>
        </w:rPr>
        <w:t>广告制品的全程安全。如在广告制作、运输、安装过程中，所造成的质量问题或人员伤亡等事故，一切损失由乙方自行承担。</w:t>
      </w:r>
    </w:p>
    <w:p w14:paraId="3DB4478D">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（三）成品</w:t>
      </w:r>
      <w:r>
        <w:rPr>
          <w:rFonts w:hint="eastAsia" w:ascii="宋体"/>
          <w:sz w:val="24"/>
          <w:lang w:val="zh-CN"/>
        </w:rPr>
        <w:t>验收</w:t>
      </w:r>
      <w:r>
        <w:rPr>
          <w:rFonts w:hint="eastAsia" w:asciiTheme="minorEastAsia" w:hAnsiTheme="minorEastAsia" w:eastAsiaTheme="minorEastAsia"/>
          <w:kern w:val="0"/>
          <w:sz w:val="24"/>
        </w:rPr>
        <w:t>之日起一个月内发现质量问题的，乙方负责免费调换，并承担由此给甲方造成的所有损失。</w:t>
      </w:r>
    </w:p>
    <w:p w14:paraId="38AFB6CF">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（四）在</w:t>
      </w:r>
      <w:r>
        <w:rPr>
          <w:rFonts w:hint="eastAsia" w:ascii="宋体"/>
          <w:sz w:val="24"/>
          <w:lang w:val="zh-CN"/>
        </w:rPr>
        <w:t>使用</w:t>
      </w:r>
      <w:r>
        <w:rPr>
          <w:rFonts w:hint="eastAsia" w:asciiTheme="minorEastAsia" w:hAnsiTheme="minorEastAsia" w:eastAsiaTheme="minorEastAsia"/>
          <w:kern w:val="0"/>
          <w:sz w:val="24"/>
        </w:rPr>
        <w:t xml:space="preserve">期内，由于设计、制造（包括材料、工艺及加工质量）、安装、运输等原因（非乙方自身原因、不可抗力因素除外）导致的故障、损坏，由乙方无偿修理、更换，直至恢复（达到）合同规定的质量和性能参数要求。户外广告的设置必须采取有效保证其结构安全、可靠、应及时进行更新、维护、保养，并定期进行安全检查。 </w:t>
      </w:r>
    </w:p>
    <w:p w14:paraId="5DE7B1C0">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（五）乙方擅自更改画面、尺寸、材质等造成损失的，所有责任由乙方承担。</w:t>
      </w:r>
    </w:p>
    <w:p w14:paraId="159B4238">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（六）因</w:t>
      </w:r>
      <w:r>
        <w:rPr>
          <w:rFonts w:hint="eastAsia" w:ascii="宋体"/>
          <w:sz w:val="24"/>
          <w:lang w:val="zh-CN"/>
        </w:rPr>
        <w:t>质量</w:t>
      </w:r>
      <w:r>
        <w:rPr>
          <w:rFonts w:hint="eastAsia" w:asciiTheme="minorEastAsia" w:hAnsiTheme="minorEastAsia" w:eastAsiaTheme="minorEastAsia"/>
          <w:kern w:val="0"/>
          <w:sz w:val="24"/>
        </w:rPr>
        <w:t>和售后服务原因引起的不良后果，由乙方负责处理，承担相应的责任，情况特别严重的可取消其乙方的服务资格。</w:t>
      </w:r>
    </w:p>
    <w:p w14:paraId="2F2C0F06">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（七）对</w:t>
      </w:r>
      <w:r>
        <w:rPr>
          <w:rFonts w:hint="eastAsia" w:ascii="宋体"/>
          <w:sz w:val="24"/>
          <w:lang w:val="zh-CN"/>
        </w:rPr>
        <w:t>甲方</w:t>
      </w:r>
      <w:r>
        <w:rPr>
          <w:rFonts w:hint="eastAsia" w:asciiTheme="minorEastAsia" w:hAnsiTheme="minorEastAsia" w:eastAsiaTheme="minorEastAsia"/>
          <w:kern w:val="0"/>
          <w:sz w:val="24"/>
        </w:rPr>
        <w:t>的维修、维护等售后服务通知，乙方需在接报后2小时内响应，4小时内到达现场，在甲方规定的时间内处理完毕。</w:t>
      </w:r>
    </w:p>
    <w:p w14:paraId="1B2912B5">
      <w:pPr>
        <w:spacing w:line="360" w:lineRule="auto"/>
        <w:ind w:firstLine="482" w:firstLineChars="200"/>
        <w:rPr>
          <w:rFonts w:ascii="宋体"/>
          <w:b/>
          <w:sz w:val="24"/>
          <w:lang w:val="zh-CN"/>
        </w:rPr>
      </w:pPr>
      <w:r>
        <w:rPr>
          <w:rFonts w:ascii="宋体"/>
          <w:b/>
          <w:sz w:val="24"/>
          <w:lang w:val="zh-CN"/>
        </w:rPr>
        <w:t>十、验收要求</w:t>
      </w:r>
    </w:p>
    <w:p w14:paraId="459F9710">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（一）</w:t>
      </w:r>
      <w:r>
        <w:rPr>
          <w:rFonts w:hint="eastAsia" w:ascii="宋体"/>
          <w:sz w:val="24"/>
          <w:lang w:val="zh-CN"/>
        </w:rPr>
        <w:t>每次</w:t>
      </w:r>
      <w:r>
        <w:rPr>
          <w:rFonts w:hint="eastAsia" w:asciiTheme="minorEastAsia" w:hAnsiTheme="minorEastAsia" w:eastAsiaTheme="minorEastAsia"/>
          <w:kern w:val="0"/>
          <w:sz w:val="24"/>
        </w:rPr>
        <w:t>项目完成后5个日历天内，由甲方</w:t>
      </w:r>
      <w:r>
        <w:rPr>
          <w:rFonts w:hint="eastAsia" w:hAnsi="宋体" w:cs="宋体"/>
          <w:kern w:val="0"/>
          <w:sz w:val="24"/>
          <w:lang w:bidi="en-US"/>
        </w:rPr>
        <w:t>或甲方委托的第三方</w:t>
      </w:r>
      <w:r>
        <w:rPr>
          <w:rFonts w:hint="eastAsia" w:asciiTheme="minorEastAsia" w:hAnsiTheme="minorEastAsia" w:eastAsiaTheme="minorEastAsia"/>
          <w:kern w:val="0"/>
          <w:sz w:val="24"/>
        </w:rPr>
        <w:t>进行验收。如果质量不合格或有部分内容尚未完成的，乙方应根据甲方的修改意见，在商定的期限内按要求进行修改后，再进行验收，直至达到标准和要求为止，由此造成的一切费用均由乙方承担。验收合格后，甲方在验收合格证明书上签章。</w:t>
      </w:r>
    </w:p>
    <w:p w14:paraId="4BAC138B">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（二）甲方组成验收小组按相关标准进行验收，必要时邀请相关的专业人员或机构参与验收。</w:t>
      </w:r>
    </w:p>
    <w:p w14:paraId="071A8236">
      <w:pPr>
        <w:spacing w:line="360" w:lineRule="auto"/>
        <w:ind w:firstLine="482" w:firstLineChars="200"/>
        <w:rPr>
          <w:rFonts w:ascii="宋体"/>
          <w:b/>
          <w:sz w:val="24"/>
          <w:lang w:val="zh-CN"/>
        </w:rPr>
      </w:pPr>
      <w:r>
        <w:rPr>
          <w:rFonts w:ascii="宋体"/>
          <w:b/>
          <w:sz w:val="24"/>
          <w:lang w:val="zh-CN"/>
        </w:rPr>
        <w:t>十一、违约责任</w:t>
      </w:r>
    </w:p>
    <w:p w14:paraId="4307F277">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w:t>
      </w:r>
      <w:r>
        <w:rPr>
          <w:rFonts w:ascii="宋体"/>
          <w:sz w:val="24"/>
          <w:lang w:val="zh-CN"/>
        </w:rPr>
        <w:t>甲方</w:t>
      </w:r>
      <w:r>
        <w:rPr>
          <w:rFonts w:asciiTheme="minorEastAsia" w:hAnsiTheme="minorEastAsia" w:eastAsiaTheme="minorEastAsia"/>
          <w:sz w:val="24"/>
        </w:rPr>
        <w:t>无正当理由拒收货物的，甲方向乙方偿付拒收货款总值的</w:t>
      </w:r>
      <w:r>
        <w:rPr>
          <w:rFonts w:hint="eastAsia" w:asciiTheme="minorEastAsia" w:hAnsiTheme="minorEastAsia" w:eastAsiaTheme="minorEastAsia"/>
          <w:sz w:val="24"/>
        </w:rPr>
        <w:t>5%</w:t>
      </w:r>
      <w:r>
        <w:rPr>
          <w:rFonts w:asciiTheme="minorEastAsia" w:hAnsiTheme="minorEastAsia" w:eastAsiaTheme="minorEastAsia"/>
          <w:sz w:val="24"/>
        </w:rPr>
        <w:t>违约金。</w:t>
      </w:r>
    </w:p>
    <w:p w14:paraId="25DAA630">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乙方逾期交付货物的，乙方应按逾期交货总额每日</w:t>
      </w:r>
      <w:r>
        <w:rPr>
          <w:rFonts w:asciiTheme="minorEastAsia" w:hAnsiTheme="minorEastAsia" w:eastAsiaTheme="minorEastAsia"/>
          <w:sz w:val="24"/>
          <w:u w:val="single"/>
        </w:rPr>
        <w:t>千分之六</w:t>
      </w:r>
      <w:r>
        <w:rPr>
          <w:rFonts w:asciiTheme="minorEastAsia" w:hAnsiTheme="minorEastAsia" w:eastAsiaTheme="minorEastAsia"/>
          <w:sz w:val="24"/>
        </w:rPr>
        <w:t>向甲方支付违约金，由甲方从待付货款中扣除。逾期超过约定日期</w:t>
      </w:r>
      <w:r>
        <w:rPr>
          <w:rFonts w:asciiTheme="minorEastAsia" w:hAnsiTheme="minorEastAsia" w:eastAsiaTheme="minorEastAsia"/>
          <w:sz w:val="24"/>
          <w:u w:val="single"/>
        </w:rPr>
        <w:t>10</w:t>
      </w:r>
      <w:r>
        <w:rPr>
          <w:rFonts w:asciiTheme="minorEastAsia" w:hAnsiTheme="minorEastAsia" w:eastAsiaTheme="minorEastAsia"/>
          <w:sz w:val="24"/>
        </w:rPr>
        <w:t>个工作日不能交货的，甲方可解除本合同。乙方因逾期交货或因其他违约行为导致甲方解除合同的，乙方应向甲方支付合同总值</w:t>
      </w:r>
      <w:r>
        <w:rPr>
          <w:rFonts w:asciiTheme="minorEastAsia" w:hAnsiTheme="minorEastAsia" w:eastAsiaTheme="minorEastAsia"/>
          <w:sz w:val="24"/>
          <w:u w:val="single"/>
        </w:rPr>
        <w:t>5%</w:t>
      </w:r>
      <w:r>
        <w:rPr>
          <w:rFonts w:asciiTheme="minorEastAsia" w:hAnsiTheme="minorEastAsia" w:eastAsiaTheme="minorEastAsia"/>
          <w:sz w:val="24"/>
        </w:rPr>
        <w:t xml:space="preserve">的违约金，如造成甲方损失超过违约金的，超出部分由乙方继续承担赔偿责任。 </w:t>
      </w:r>
    </w:p>
    <w:p w14:paraId="4711BC5C">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asciiTheme="minorEastAsia" w:hAnsiTheme="minorEastAsia" w:eastAsiaTheme="minorEastAsia"/>
          <w:sz w:val="24"/>
        </w:rPr>
        <w:t>乙方所交的货物品种、型号、规格、技术参数、质量不符合合同规定及</w:t>
      </w:r>
      <w:r>
        <w:rPr>
          <w:rFonts w:hint="eastAsia" w:asciiTheme="minorEastAsia" w:hAnsiTheme="minorEastAsia" w:eastAsiaTheme="minorEastAsia"/>
          <w:sz w:val="24"/>
        </w:rPr>
        <w:t>采购文件</w:t>
      </w:r>
      <w:r>
        <w:rPr>
          <w:rFonts w:asciiTheme="minorEastAsia" w:hAnsiTheme="minorEastAsia" w:eastAsiaTheme="minorEastAsia"/>
          <w:sz w:val="24"/>
        </w:rPr>
        <w:t>规定标准的，甲方有权拒收该货物，乙方愿意更换货物但逾期交货的，按乙方逾期交货处理。乙方拒绝更换货物的，甲方可单方面解除合同。</w:t>
      </w:r>
    </w:p>
    <w:p w14:paraId="0F4F3117">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w:t>
      </w:r>
      <w:r>
        <w:rPr>
          <w:rFonts w:hint="eastAsia" w:ascii="宋体"/>
          <w:sz w:val="24"/>
          <w:lang w:val="zh-CN"/>
        </w:rPr>
        <w:t>乙方</w:t>
      </w:r>
      <w:r>
        <w:rPr>
          <w:rFonts w:hint="eastAsia" w:asciiTheme="minorEastAsia" w:hAnsiTheme="minorEastAsia" w:eastAsiaTheme="minorEastAsia"/>
          <w:kern w:val="0"/>
          <w:sz w:val="24"/>
        </w:rPr>
        <w:t>出现以下情况的，甲方有权取消项目的委托，并取消服务资格：</w:t>
      </w:r>
    </w:p>
    <w:p w14:paraId="141E7B61">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1.甲方</w:t>
      </w:r>
      <w:r>
        <w:rPr>
          <w:rFonts w:hint="eastAsia" w:ascii="宋体"/>
          <w:sz w:val="24"/>
          <w:lang w:val="zh-CN"/>
        </w:rPr>
        <w:t>发出</w:t>
      </w:r>
      <w:r>
        <w:rPr>
          <w:rFonts w:hint="eastAsia" w:asciiTheme="minorEastAsia" w:hAnsiTheme="minorEastAsia" w:eastAsiaTheme="minorEastAsia"/>
          <w:kern w:val="0"/>
          <w:sz w:val="24"/>
        </w:rPr>
        <w:t>工作任务后，逾期</w:t>
      </w:r>
      <w:r>
        <w:rPr>
          <w:rFonts w:hint="eastAsia" w:asciiTheme="minorEastAsia" w:hAnsiTheme="minorEastAsia" w:eastAsiaTheme="minorEastAsia"/>
          <w:kern w:val="0"/>
          <w:sz w:val="24"/>
          <w:lang w:val="en-US" w:eastAsia="zh-CN"/>
        </w:rPr>
        <w:t>1</w:t>
      </w:r>
      <w:r>
        <w:rPr>
          <w:rFonts w:hint="eastAsia" w:asciiTheme="minorEastAsia" w:hAnsiTheme="minorEastAsia" w:eastAsiaTheme="minorEastAsia"/>
          <w:kern w:val="0"/>
          <w:sz w:val="24"/>
        </w:rPr>
        <w:t>个工作日不响应的；</w:t>
      </w:r>
    </w:p>
    <w:p w14:paraId="08909599">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2.在服务期限内无故放弃甲方委派工作任务达</w:t>
      </w:r>
      <w:r>
        <w:rPr>
          <w:rFonts w:hint="eastAsia" w:asciiTheme="minorEastAsia" w:hAnsiTheme="minorEastAsia" w:eastAsiaTheme="minorEastAsia"/>
          <w:kern w:val="0"/>
          <w:sz w:val="24"/>
          <w:lang w:val="en-US" w:eastAsia="zh-CN"/>
        </w:rPr>
        <w:t>2</w:t>
      </w:r>
      <w:r>
        <w:rPr>
          <w:rFonts w:hint="eastAsia" w:asciiTheme="minorEastAsia" w:hAnsiTheme="minorEastAsia" w:eastAsiaTheme="minorEastAsia"/>
          <w:kern w:val="0"/>
          <w:sz w:val="24"/>
        </w:rPr>
        <w:t>次的；</w:t>
      </w:r>
    </w:p>
    <w:p w14:paraId="4E032C97">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3.若因</w:t>
      </w:r>
      <w:r>
        <w:rPr>
          <w:rFonts w:hint="eastAsia" w:ascii="宋体"/>
          <w:sz w:val="24"/>
          <w:lang w:val="zh-CN"/>
        </w:rPr>
        <w:t>自身</w:t>
      </w:r>
      <w:r>
        <w:rPr>
          <w:rFonts w:hint="eastAsia" w:asciiTheme="minorEastAsia" w:hAnsiTheme="minorEastAsia" w:eastAsiaTheme="minorEastAsia"/>
          <w:kern w:val="0"/>
          <w:sz w:val="24"/>
        </w:rPr>
        <w:t>原因，未能按约定的项目时限完成项目工作达3次的（具体每项项目的完成时间，除特殊情况外，以合同约定的完成时限为准）；</w:t>
      </w:r>
    </w:p>
    <w:p w14:paraId="7F4EA1C5">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4.未按</w:t>
      </w:r>
      <w:r>
        <w:rPr>
          <w:rFonts w:hint="eastAsia" w:ascii="宋体"/>
          <w:sz w:val="24"/>
          <w:lang w:val="zh-CN"/>
        </w:rPr>
        <w:t>甲方</w:t>
      </w:r>
      <w:r>
        <w:rPr>
          <w:rFonts w:hint="eastAsia" w:asciiTheme="minorEastAsia" w:hAnsiTheme="minorEastAsia" w:eastAsiaTheme="minorEastAsia"/>
          <w:kern w:val="0"/>
          <w:sz w:val="24"/>
        </w:rPr>
        <w:t>的技术要求完成有关工作，例如乙方应保证人员、设备未严格按照甲方的时限、质量、数量按时按质按数到位，未按甲方要求履行该项工作，造成出现质量、安全与环保等问题，造成一定经济损失，影响较大的；</w:t>
      </w:r>
    </w:p>
    <w:p w14:paraId="17A64D9A">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5.甲方查实乙方及其相关人员存在以下行为之一的：</w:t>
      </w:r>
    </w:p>
    <w:p w14:paraId="2AA32905">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hint="eastAsia" w:ascii="宋体"/>
          <w:sz w:val="24"/>
          <w:lang w:val="zh-CN"/>
        </w:rPr>
        <w:t>徇私舞弊</w:t>
      </w:r>
      <w:r>
        <w:rPr>
          <w:rFonts w:hint="eastAsia" w:asciiTheme="minorEastAsia" w:hAnsiTheme="minorEastAsia" w:eastAsiaTheme="minorEastAsia"/>
          <w:kern w:val="0"/>
          <w:sz w:val="24"/>
        </w:rPr>
        <w:t>、弄虚作假；</w:t>
      </w:r>
    </w:p>
    <w:p w14:paraId="60E87084">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（2）违反国家、省及财政部门有关保密规定，泄露工作时知悉的国家机密和商业秘密；</w:t>
      </w:r>
    </w:p>
    <w:p w14:paraId="38E5E3BB">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（3）</w:t>
      </w:r>
      <w:r>
        <w:rPr>
          <w:rFonts w:hint="eastAsia" w:ascii="宋体"/>
          <w:sz w:val="24"/>
          <w:lang w:val="zh-CN"/>
        </w:rPr>
        <w:t>未经</w:t>
      </w:r>
      <w:r>
        <w:rPr>
          <w:rFonts w:hint="eastAsia" w:asciiTheme="minorEastAsia" w:hAnsiTheme="minorEastAsia" w:eastAsiaTheme="minorEastAsia"/>
          <w:kern w:val="0"/>
          <w:sz w:val="24"/>
        </w:rPr>
        <w:t>业务委托部门同意，向项目以外的其他单位或个人披露本项目工作的有关信息，对不参与工作人员提供、泄露或公开本项目工作有关情况；</w:t>
      </w:r>
    </w:p>
    <w:p w14:paraId="0B62ADD3">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（4）</w:t>
      </w:r>
      <w:r>
        <w:rPr>
          <w:rFonts w:hint="eastAsia" w:ascii="宋体"/>
          <w:sz w:val="24"/>
          <w:lang w:val="zh-CN"/>
        </w:rPr>
        <w:t>与其</w:t>
      </w:r>
      <w:r>
        <w:rPr>
          <w:rFonts w:hint="eastAsia" w:asciiTheme="minorEastAsia" w:hAnsiTheme="minorEastAsia" w:eastAsiaTheme="minorEastAsia"/>
          <w:kern w:val="0"/>
          <w:sz w:val="24"/>
        </w:rPr>
        <w:t>他第三方个人或组织等串通，违反诚实信用和响应承诺，谋取非法利益或损害政府利益；</w:t>
      </w:r>
    </w:p>
    <w:p w14:paraId="09D5B350">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（5）</w:t>
      </w:r>
      <w:r>
        <w:rPr>
          <w:rFonts w:hint="eastAsia" w:ascii="宋体"/>
          <w:sz w:val="24"/>
          <w:lang w:val="zh-CN"/>
        </w:rPr>
        <w:t>引起</w:t>
      </w:r>
      <w:r>
        <w:rPr>
          <w:rFonts w:hint="eastAsia" w:asciiTheme="minorEastAsia" w:hAnsiTheme="minorEastAsia" w:eastAsiaTheme="minorEastAsia"/>
          <w:kern w:val="0"/>
          <w:sz w:val="24"/>
        </w:rPr>
        <w:t>诉讼或纠纷，给本项目工作造成损失或严重后果的。</w:t>
      </w:r>
    </w:p>
    <w:p w14:paraId="592CA7CD">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6.拒绝接受甲方监督检查和管理；</w:t>
      </w:r>
    </w:p>
    <w:p w14:paraId="627A270A">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7.在</w:t>
      </w:r>
      <w:r>
        <w:rPr>
          <w:rFonts w:hint="eastAsia" w:ascii="宋体"/>
          <w:sz w:val="24"/>
          <w:lang w:val="zh-CN"/>
        </w:rPr>
        <w:t>合同</w:t>
      </w:r>
      <w:r>
        <w:rPr>
          <w:rFonts w:hint="eastAsia" w:asciiTheme="minorEastAsia" w:hAnsiTheme="minorEastAsia" w:eastAsiaTheme="minorEastAsia"/>
          <w:kern w:val="0"/>
          <w:sz w:val="24"/>
        </w:rPr>
        <w:t>服务期内，出现信用危机、财务危机、经营危机，甚至破产无法继续履行合同的；</w:t>
      </w:r>
    </w:p>
    <w:p w14:paraId="5041E41B">
      <w:pPr>
        <w:spacing w:line="360" w:lineRule="auto"/>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8.在</w:t>
      </w:r>
      <w:r>
        <w:rPr>
          <w:rFonts w:hint="eastAsia" w:ascii="宋体"/>
          <w:sz w:val="24"/>
          <w:lang w:val="zh-CN"/>
        </w:rPr>
        <w:t>服务</w:t>
      </w:r>
      <w:r>
        <w:rPr>
          <w:rFonts w:hint="eastAsia" w:asciiTheme="minorEastAsia" w:hAnsiTheme="minorEastAsia" w:eastAsiaTheme="minorEastAsia"/>
          <w:kern w:val="0"/>
          <w:sz w:val="24"/>
        </w:rPr>
        <w:t>期限内，被行政主管部门明令取消、暂停、禁止参与投标且在处罚有效期内。</w:t>
      </w:r>
    </w:p>
    <w:p w14:paraId="41B1686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（六）若</w:t>
      </w:r>
      <w:r>
        <w:rPr>
          <w:rFonts w:hint="eastAsia" w:ascii="宋体"/>
          <w:sz w:val="24"/>
          <w:lang w:val="zh-CN"/>
        </w:rPr>
        <w:t>发生</w:t>
      </w:r>
      <w:r>
        <w:rPr>
          <w:rFonts w:hint="eastAsia" w:asciiTheme="minorEastAsia" w:hAnsiTheme="minorEastAsia" w:eastAsiaTheme="minorEastAsia"/>
          <w:sz w:val="24"/>
        </w:rPr>
        <w:t>纠纷，由违约方赔偿守约方因纠纷所支付的费用（包括但不限于律师费、差旅费、诉讼费、保全费、鉴定费、评估费等）</w:t>
      </w:r>
    </w:p>
    <w:p w14:paraId="3F41E171">
      <w:pPr>
        <w:spacing w:line="360" w:lineRule="auto"/>
        <w:ind w:firstLine="482" w:firstLineChars="200"/>
        <w:rPr>
          <w:rFonts w:ascii="宋体"/>
          <w:b/>
          <w:sz w:val="24"/>
          <w:lang w:val="zh-CN"/>
        </w:rPr>
      </w:pPr>
      <w:r>
        <w:rPr>
          <w:rFonts w:ascii="宋体"/>
          <w:b/>
          <w:sz w:val="24"/>
          <w:lang w:val="zh-CN"/>
        </w:rPr>
        <w:t>十二、不可抗力事件处理</w:t>
      </w:r>
    </w:p>
    <w:p w14:paraId="55D4AFF6">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（一）在合同有效期内，任何一方因不可抗力事件导致不能履行合同，则合同履行期可延长，其延长期与不可抗力影响期相同。</w:t>
      </w:r>
    </w:p>
    <w:p w14:paraId="772E24B3">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hint="eastAsia" w:ascii="宋体"/>
          <w:sz w:val="24"/>
          <w:lang w:val="zh-CN"/>
        </w:rPr>
        <w:t>不可抗力</w:t>
      </w:r>
      <w:r>
        <w:rPr>
          <w:rFonts w:hint="eastAsia" w:asciiTheme="minorEastAsia" w:hAnsiTheme="minorEastAsia" w:eastAsiaTheme="minorEastAsia"/>
          <w:sz w:val="24"/>
        </w:rPr>
        <w:t>事件发生后，应立即通知对方，并寄送有关权威机构出具的证明。</w:t>
      </w:r>
    </w:p>
    <w:p w14:paraId="30866FA6">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宋体"/>
          <w:sz w:val="24"/>
          <w:lang w:val="zh-CN"/>
        </w:rPr>
        <w:t>不可抗力</w:t>
      </w:r>
      <w:r>
        <w:rPr>
          <w:rFonts w:hint="eastAsia" w:asciiTheme="minorEastAsia" w:hAnsiTheme="minorEastAsia" w:eastAsiaTheme="minorEastAsia"/>
          <w:sz w:val="24"/>
        </w:rPr>
        <w:t>事件延续120天以上，双方应通过友好协商，确定是否继续履行合同。</w:t>
      </w:r>
    </w:p>
    <w:p w14:paraId="0CCBD26C">
      <w:pPr>
        <w:spacing w:line="360" w:lineRule="auto"/>
        <w:ind w:firstLine="482" w:firstLineChars="200"/>
        <w:rPr>
          <w:rFonts w:ascii="宋体"/>
          <w:b/>
          <w:sz w:val="24"/>
          <w:lang w:val="zh-CN"/>
        </w:rPr>
      </w:pPr>
      <w:r>
        <w:rPr>
          <w:rFonts w:ascii="宋体"/>
          <w:b/>
          <w:sz w:val="24"/>
          <w:lang w:val="zh-CN"/>
        </w:rPr>
        <w:t>十三、</w:t>
      </w:r>
      <w:r>
        <w:rPr>
          <w:rFonts w:hint="eastAsia" w:ascii="宋体"/>
          <w:b/>
          <w:sz w:val="24"/>
          <w:lang w:val="zh-CN"/>
        </w:rPr>
        <w:t>解决争议的方法</w:t>
      </w:r>
    </w:p>
    <w:p w14:paraId="6ED29878">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如双方在履行合同时发生纠纷，应协商解决；协商不成时，可提请政府采购管理部门调解；调解不成的</w:t>
      </w:r>
      <w:r>
        <w:rPr>
          <w:rFonts w:hint="eastAsia" w:asciiTheme="minorEastAsia" w:hAnsiTheme="minorEastAsia" w:eastAsiaTheme="minorEastAsia"/>
          <w:sz w:val="24"/>
        </w:rPr>
        <w:t>通过以下第（ 二 ）方式解决</w:t>
      </w:r>
      <w:r>
        <w:rPr>
          <w:rFonts w:asciiTheme="minorEastAsia" w:hAnsiTheme="minorEastAsia" w:eastAsiaTheme="minorEastAsia"/>
          <w:sz w:val="24"/>
        </w:rPr>
        <w:t>：</w:t>
      </w:r>
    </w:p>
    <w:p w14:paraId="659F4B52">
      <w:pPr>
        <w:spacing w:line="360" w:lineRule="auto"/>
        <w:ind w:firstLine="480" w:firstLineChars="200"/>
        <w:rPr>
          <w:rFonts w:ascii="宋体" w:hAnsi="宋体" w:cs="宋体"/>
          <w:kern w:val="0"/>
          <w:sz w:val="24"/>
        </w:rPr>
      </w:pPr>
      <w:r>
        <w:rPr>
          <w:rFonts w:hint="eastAsia" w:ascii="宋体" w:hAnsi="宋体" w:cs="宋体"/>
          <w:kern w:val="0"/>
          <w:sz w:val="24"/>
        </w:rPr>
        <w:t>（一）</w:t>
      </w:r>
      <w:r>
        <w:rPr>
          <w:rFonts w:ascii="宋体"/>
          <w:sz w:val="24"/>
          <w:lang w:val="zh-CN"/>
        </w:rPr>
        <w:t>提交</w:t>
      </w:r>
      <w:r>
        <w:rPr>
          <w:rFonts w:hAnsi="宋体"/>
          <w:sz w:val="24"/>
          <w:u w:val="single"/>
        </w:rPr>
        <w:t>台州</w:t>
      </w:r>
      <w:r>
        <w:rPr>
          <w:rFonts w:ascii="宋体" w:hAnsi="宋体" w:cs="宋体"/>
          <w:kern w:val="0"/>
          <w:sz w:val="24"/>
        </w:rPr>
        <w:t>仲裁委员会仲裁。</w:t>
      </w:r>
    </w:p>
    <w:p w14:paraId="767FE65E">
      <w:pPr>
        <w:spacing w:line="360" w:lineRule="auto"/>
        <w:ind w:firstLine="480" w:firstLineChars="200"/>
        <w:rPr>
          <w:sz w:val="24"/>
        </w:rPr>
      </w:pPr>
      <w:r>
        <w:rPr>
          <w:rFonts w:hint="eastAsia" w:ascii="宋体" w:hAnsi="宋体" w:cs="宋体"/>
          <w:kern w:val="0"/>
          <w:sz w:val="24"/>
        </w:rPr>
        <w:t>（二）</w:t>
      </w:r>
      <w:r>
        <w:rPr>
          <w:rFonts w:ascii="宋体" w:hAnsi="宋体" w:cs="宋体"/>
          <w:kern w:val="0"/>
          <w:sz w:val="24"/>
        </w:rPr>
        <w:t>依法向甲方所在地人民法院提起诉讼。</w:t>
      </w:r>
    </w:p>
    <w:p w14:paraId="37D513DF">
      <w:pPr>
        <w:spacing w:line="360" w:lineRule="auto"/>
        <w:ind w:firstLine="482" w:firstLineChars="200"/>
        <w:rPr>
          <w:rFonts w:asciiTheme="minorEastAsia" w:hAnsiTheme="minorEastAsia" w:eastAsiaTheme="minorEastAsia"/>
          <w:b/>
          <w:sz w:val="24"/>
        </w:rPr>
      </w:pPr>
      <w:r>
        <w:rPr>
          <w:rFonts w:ascii="宋体"/>
          <w:b/>
          <w:sz w:val="24"/>
          <w:lang w:val="zh-CN"/>
        </w:rPr>
        <w:t>十四、合同生效</w:t>
      </w:r>
      <w:r>
        <w:rPr>
          <w:rFonts w:hint="eastAsia" w:ascii="宋体"/>
          <w:b/>
          <w:sz w:val="24"/>
          <w:lang w:val="zh-CN"/>
        </w:rPr>
        <w:t>及其他</w:t>
      </w:r>
      <w:r>
        <w:rPr>
          <w:rFonts w:asciiTheme="minorEastAsia" w:hAnsiTheme="minorEastAsia" w:eastAsiaTheme="minorEastAsia"/>
          <w:b/>
          <w:sz w:val="24"/>
        </w:rPr>
        <w:tab/>
      </w:r>
    </w:p>
    <w:p w14:paraId="5C5DCDD3">
      <w:pPr>
        <w:spacing w:line="360" w:lineRule="auto"/>
        <w:ind w:firstLine="480" w:firstLineChars="200"/>
        <w:rPr>
          <w:rFonts w:ascii="宋体"/>
          <w:sz w:val="24"/>
          <w:lang w:val="zh-CN"/>
        </w:rPr>
      </w:pPr>
      <w:r>
        <w:rPr>
          <w:rFonts w:hint="eastAsia" w:ascii="宋体"/>
          <w:sz w:val="24"/>
          <w:lang w:val="zh-CN"/>
        </w:rPr>
        <w:t>（一）</w:t>
      </w:r>
      <w:r>
        <w:rPr>
          <w:rFonts w:ascii="宋体"/>
          <w:sz w:val="24"/>
          <w:lang w:val="zh-CN"/>
        </w:rPr>
        <w:t>合同经双方法定代表人或授权代表</w:t>
      </w:r>
      <w:r>
        <w:rPr>
          <w:rFonts w:hint="eastAsia" w:ascii="宋体"/>
          <w:sz w:val="24"/>
          <w:lang w:val="zh-CN"/>
        </w:rPr>
        <w:t>签字</w:t>
      </w:r>
      <w:r>
        <w:rPr>
          <w:rFonts w:ascii="宋体"/>
          <w:sz w:val="24"/>
          <w:lang w:val="zh-CN"/>
        </w:rPr>
        <w:t>并加盖单位公章后生效。</w:t>
      </w:r>
    </w:p>
    <w:p w14:paraId="0A87E21B">
      <w:pPr>
        <w:spacing w:line="360" w:lineRule="auto"/>
        <w:ind w:firstLine="480" w:firstLineChars="200"/>
        <w:rPr>
          <w:rFonts w:ascii="宋体"/>
          <w:sz w:val="24"/>
          <w:lang w:val="zh-CN"/>
        </w:rPr>
      </w:pPr>
      <w:r>
        <w:rPr>
          <w:rFonts w:hint="eastAsia" w:ascii="宋体"/>
          <w:sz w:val="24"/>
          <w:lang w:val="zh-CN"/>
        </w:rPr>
        <w:t>（二）</w:t>
      </w:r>
      <w:r>
        <w:rPr>
          <w:rFonts w:ascii="宋体"/>
          <w:sz w:val="24"/>
          <w:lang w:val="zh-CN"/>
        </w:rPr>
        <w:t>本合同未尽事宜，遵照《</w:t>
      </w:r>
      <w:r>
        <w:rPr>
          <w:rFonts w:hint="eastAsia" w:ascii="宋体"/>
          <w:sz w:val="24"/>
          <w:lang w:val="zh-CN"/>
        </w:rPr>
        <w:t>中华人民共和国民法典</w:t>
      </w:r>
      <w:r>
        <w:rPr>
          <w:rFonts w:ascii="宋体"/>
          <w:sz w:val="24"/>
          <w:lang w:val="zh-CN"/>
        </w:rPr>
        <w:t>》有关条文执行。</w:t>
      </w:r>
    </w:p>
    <w:p w14:paraId="1C60791A">
      <w:pPr>
        <w:spacing w:line="360" w:lineRule="auto"/>
        <w:ind w:firstLine="480" w:firstLineChars="200"/>
        <w:rPr>
          <w:rFonts w:ascii="宋体"/>
          <w:sz w:val="24"/>
          <w:lang w:val="zh-CN"/>
        </w:rPr>
      </w:pPr>
      <w:r>
        <w:rPr>
          <w:rFonts w:hint="eastAsia" w:ascii="宋体"/>
          <w:sz w:val="24"/>
          <w:lang w:val="zh-CN"/>
        </w:rPr>
        <w:t>（三）本合同一式肆份，甲、乙双方各执贰份。本项目未尽事宜以采购文件、响应文件及澄清文件等为准。</w:t>
      </w:r>
    </w:p>
    <w:p w14:paraId="59DCE1A3">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w:t>
      </w:r>
      <w:r>
        <w:rPr>
          <w:rFonts w:ascii="宋体"/>
          <w:sz w:val="24"/>
          <w:lang w:val="zh-CN"/>
        </w:rPr>
        <w:t>以下</w:t>
      </w:r>
      <w:r>
        <w:rPr>
          <w:rFonts w:asciiTheme="minorEastAsia" w:hAnsiTheme="minorEastAsia" w:eastAsiaTheme="minorEastAsia"/>
          <w:sz w:val="24"/>
        </w:rPr>
        <w:t>无正文）</w:t>
      </w:r>
    </w:p>
    <w:p w14:paraId="691F7BE7">
      <w:pPr>
        <w:widowControl/>
        <w:spacing w:line="360" w:lineRule="auto"/>
        <w:rPr>
          <w:rFonts w:asciiTheme="minorEastAsia" w:hAnsiTheme="minorEastAsia" w:eastAsiaTheme="minorEastAsia"/>
          <w:b/>
          <w:sz w:val="24"/>
        </w:rPr>
      </w:pPr>
    </w:p>
    <w:p w14:paraId="1E64B61C">
      <w:pPr>
        <w:widowControl/>
        <w:jc w:val="left"/>
        <w:rPr>
          <w:rFonts w:ascii="宋体"/>
          <w:sz w:val="24"/>
          <w:lang w:val="zh-CN"/>
        </w:rPr>
      </w:pPr>
      <w:r>
        <w:rPr>
          <w:rFonts w:ascii="宋体"/>
          <w:sz w:val="24"/>
          <w:lang w:val="zh-CN"/>
        </w:rPr>
        <w:br w:type="page"/>
      </w:r>
    </w:p>
    <w:p w14:paraId="24502C90">
      <w:pPr>
        <w:spacing w:line="360" w:lineRule="auto"/>
        <w:ind w:firstLine="480" w:firstLineChars="200"/>
        <w:rPr>
          <w:rFonts w:ascii="宋体"/>
          <w:sz w:val="24"/>
          <w:lang w:val="zh-CN"/>
        </w:rPr>
      </w:pPr>
      <w:r>
        <w:rPr>
          <w:rFonts w:hint="eastAsia" w:ascii="宋体"/>
          <w:sz w:val="24"/>
          <w:lang w:val="zh-CN"/>
        </w:rPr>
        <w:t>甲方（公章）                                     乙方（公章）</w:t>
      </w:r>
    </w:p>
    <w:p w14:paraId="0EB5C380">
      <w:pPr>
        <w:spacing w:line="360" w:lineRule="auto"/>
        <w:ind w:firstLine="480" w:firstLineChars="200"/>
        <w:rPr>
          <w:rFonts w:ascii="宋体"/>
          <w:sz w:val="24"/>
          <w:lang w:val="zh-CN"/>
        </w:rPr>
      </w:pPr>
      <w:r>
        <w:rPr>
          <w:rFonts w:hint="eastAsia" w:ascii="宋体"/>
          <w:sz w:val="24"/>
          <w:lang w:val="zh-CN"/>
        </w:rPr>
        <w:t>法定代表人：                                     法定代表人：</w:t>
      </w:r>
    </w:p>
    <w:p w14:paraId="55D3C5B8">
      <w:pPr>
        <w:spacing w:line="360" w:lineRule="auto"/>
        <w:ind w:firstLine="480" w:firstLineChars="200"/>
        <w:rPr>
          <w:rFonts w:ascii="宋体"/>
          <w:sz w:val="24"/>
          <w:lang w:val="zh-CN"/>
        </w:rPr>
      </w:pPr>
      <w:r>
        <w:rPr>
          <w:rFonts w:hint="eastAsia" w:ascii="宋体"/>
          <w:sz w:val="24"/>
          <w:lang w:val="zh-CN"/>
        </w:rPr>
        <w:t>委托代理人：                                     委托代理人：</w:t>
      </w:r>
    </w:p>
    <w:p w14:paraId="412C1639">
      <w:pPr>
        <w:spacing w:line="360" w:lineRule="auto"/>
        <w:ind w:firstLine="480" w:firstLineChars="200"/>
        <w:rPr>
          <w:rFonts w:ascii="宋体"/>
          <w:sz w:val="24"/>
          <w:lang w:val="zh-CN"/>
        </w:rPr>
      </w:pPr>
      <w:r>
        <w:rPr>
          <w:rFonts w:hint="eastAsia" w:ascii="宋体"/>
          <w:sz w:val="24"/>
          <w:lang w:val="zh-CN"/>
        </w:rPr>
        <w:t>联系电话：                                       联系电话：</w:t>
      </w:r>
    </w:p>
    <w:p w14:paraId="55279C2C">
      <w:pPr>
        <w:spacing w:line="360" w:lineRule="auto"/>
        <w:ind w:firstLine="480" w:firstLineChars="200"/>
        <w:rPr>
          <w:rFonts w:ascii="宋体"/>
          <w:sz w:val="24"/>
          <w:lang w:val="zh-CN"/>
        </w:rPr>
      </w:pPr>
      <w:r>
        <w:rPr>
          <w:rFonts w:hint="eastAsia" w:ascii="宋体"/>
          <w:sz w:val="24"/>
          <w:lang w:val="zh-CN"/>
        </w:rPr>
        <w:t>开户银行：                                       开户银行：</w:t>
      </w:r>
    </w:p>
    <w:p w14:paraId="5D170E0D">
      <w:pPr>
        <w:spacing w:line="360" w:lineRule="auto"/>
        <w:ind w:firstLine="480" w:firstLineChars="200"/>
        <w:rPr>
          <w:rFonts w:ascii="宋体"/>
          <w:sz w:val="24"/>
          <w:lang w:val="zh-CN"/>
        </w:rPr>
      </w:pPr>
      <w:r>
        <w:rPr>
          <w:rFonts w:hint="eastAsia" w:ascii="宋体"/>
          <w:sz w:val="24"/>
          <w:lang w:val="zh-CN"/>
        </w:rPr>
        <w:t>账号：                                           账号：</w:t>
      </w:r>
    </w:p>
    <w:p w14:paraId="685DF1BE">
      <w:pPr>
        <w:spacing w:line="360" w:lineRule="auto"/>
        <w:ind w:firstLine="480" w:firstLineChars="200"/>
        <w:rPr>
          <w:rFonts w:ascii="宋体"/>
          <w:sz w:val="24"/>
          <w:lang w:val="zh-CN"/>
        </w:rPr>
      </w:pPr>
      <w:r>
        <w:rPr>
          <w:rFonts w:hint="eastAsia" w:ascii="宋体"/>
          <w:sz w:val="24"/>
          <w:lang w:val="zh-CN"/>
        </w:rPr>
        <w:t>地址及邮编：                                     地址及邮编：</w:t>
      </w:r>
    </w:p>
    <w:p w14:paraId="232AC82F">
      <w:pPr>
        <w:spacing w:line="360" w:lineRule="auto"/>
        <w:ind w:firstLine="480" w:firstLineChars="200"/>
        <w:rPr>
          <w:rFonts w:ascii="宋体"/>
          <w:sz w:val="24"/>
          <w:lang w:val="zh-CN"/>
        </w:rPr>
      </w:pPr>
    </w:p>
    <w:p w14:paraId="037989C2">
      <w:pPr>
        <w:spacing w:line="360" w:lineRule="auto"/>
        <w:ind w:firstLine="480" w:firstLineChars="200"/>
        <w:rPr>
          <w:rFonts w:hint="eastAsia" w:ascii="宋体"/>
          <w:sz w:val="24"/>
          <w:lang w:val="zh-CN"/>
        </w:rPr>
      </w:pPr>
      <w:r>
        <w:rPr>
          <w:rFonts w:hint="eastAsia" w:ascii="宋体"/>
          <w:sz w:val="24"/>
          <w:lang w:val="zh-CN"/>
        </w:rPr>
        <w:t>签订时间：    年   月    日</w:t>
      </w:r>
    </w:p>
    <w:p w14:paraId="09D5C77D">
      <w:pPr>
        <w:pStyle w:val="2"/>
        <w:jc w:val="left"/>
        <w:rPr>
          <w:lang w:val="zh-CN"/>
        </w:rPr>
      </w:pPr>
      <w:r>
        <w:rPr>
          <w:rFonts w:hint="eastAsia"/>
          <w:sz w:val="24"/>
          <w:lang w:val="zh-CN"/>
        </w:rPr>
        <w:t>合同附件：</w:t>
      </w:r>
    </w:p>
    <w:tbl>
      <w:tblPr>
        <w:tblStyle w:val="30"/>
        <w:tblW w:w="546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1813"/>
        <w:gridCol w:w="1935"/>
        <w:gridCol w:w="3021"/>
        <w:gridCol w:w="768"/>
        <w:gridCol w:w="786"/>
        <w:gridCol w:w="1107"/>
      </w:tblGrid>
      <w:tr w14:paraId="2B9B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D4404">
            <w:pPr>
              <w:keepNext w:val="0"/>
              <w:keepLines w:val="0"/>
              <w:widowControl/>
              <w:suppressLineNumbers w:val="0"/>
              <w:snapToGrid w:val="0"/>
              <w:jc w:val="center"/>
              <w:textAlignment w:val="center"/>
              <w:rPr>
                <w:rFonts w:hint="eastAsia" w:ascii="宋体" w:hAnsi="宋体" w:eastAsia="宋体" w:cs="宋体"/>
                <w:b/>
                <w:bCs/>
                <w:i w:val="0"/>
                <w:iCs w:val="0"/>
                <w:color w:val="000000"/>
                <w:sz w:val="52"/>
                <w:szCs w:val="52"/>
                <w:u w:val="none"/>
              </w:rPr>
            </w:pPr>
            <w:r>
              <w:rPr>
                <w:rFonts w:hint="eastAsia" w:ascii="宋体" w:hAnsi="宋体" w:eastAsia="宋体" w:cs="宋体"/>
                <w:b/>
                <w:bCs/>
                <w:i w:val="0"/>
                <w:iCs w:val="0"/>
                <w:color w:val="000000"/>
                <w:kern w:val="0"/>
                <w:sz w:val="52"/>
                <w:szCs w:val="52"/>
                <w:u w:val="none"/>
                <w:lang w:val="en-US" w:eastAsia="zh-CN" w:bidi="ar"/>
              </w:rPr>
              <w:t>2025年度广告服务合作商综合绩效评估表</w:t>
            </w:r>
          </w:p>
        </w:tc>
      </w:tr>
      <w:tr w14:paraId="5790A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2482">
            <w:pPr>
              <w:keepNext w:val="0"/>
              <w:keepLines w:val="0"/>
              <w:widowControl/>
              <w:suppressLineNumbers w:val="0"/>
              <w:snapToGrid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甲方（招标方）：台州市中医院</w:t>
            </w:r>
          </w:p>
        </w:tc>
      </w:tr>
      <w:tr w14:paraId="2B57E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390134">
            <w:pPr>
              <w:keepNext w:val="0"/>
              <w:keepLines w:val="0"/>
              <w:widowControl/>
              <w:suppressLineNumbers w:val="0"/>
              <w:snapToGrid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乙方（被考核方）： [广告公司名称]</w:t>
            </w:r>
          </w:p>
        </w:tc>
      </w:tr>
      <w:tr w14:paraId="405F9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8078">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考核指标及评分标准（总分100分）</w:t>
            </w:r>
          </w:p>
        </w:tc>
      </w:tr>
      <w:tr w14:paraId="3EE24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4C278">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考核类别</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570B9">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考核指标</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1011E">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指标说明与考核要点</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70394">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分值</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AC848">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评分</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2D9A">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23619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2CBEE">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一、服务质量 (40分)</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7EF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 创意与设计水平</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7DB4B">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作品是否新颖、有创意；是否符合医院品牌调性（严谨、专业、人文关怀）；视觉表现是否精美。</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8A143">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6304B">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7CCA6">
            <w:pPr>
              <w:snapToGrid w:val="0"/>
              <w:rPr>
                <w:rFonts w:hint="eastAsia" w:ascii="宋体" w:hAnsi="宋体" w:eastAsia="宋体" w:cs="宋体"/>
                <w:i w:val="0"/>
                <w:iCs w:val="0"/>
                <w:color w:val="000000"/>
                <w:sz w:val="28"/>
                <w:szCs w:val="28"/>
                <w:u w:val="none"/>
              </w:rPr>
            </w:pPr>
          </w:p>
        </w:tc>
      </w:tr>
      <w:tr w14:paraId="0971C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FDC33">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8A5CE">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 文案策划能力</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8A88E">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文案内容是否准确、严谨；能否有效传达核心信息；是否有吸引力且符合医疗行业规范。</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5EC2">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2D83">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B54B1">
            <w:pPr>
              <w:snapToGrid w:val="0"/>
              <w:rPr>
                <w:rFonts w:hint="eastAsia" w:ascii="宋体" w:hAnsi="宋体" w:eastAsia="宋体" w:cs="宋体"/>
                <w:i w:val="0"/>
                <w:iCs w:val="0"/>
                <w:color w:val="000000"/>
                <w:sz w:val="28"/>
                <w:szCs w:val="28"/>
                <w:u w:val="none"/>
              </w:rPr>
            </w:pPr>
          </w:p>
        </w:tc>
      </w:tr>
      <w:tr w14:paraId="4BDA2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3C9FC">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76494">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 成品质量</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A89CC">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最终交付的物料（如海报、视频、展板等）材质、工艺、印刷、安装等是否符合合同要求及行业标准；实际使用的材料是否与报价单、合同约定的品牌、规格、型号一致；材料的质感和耐久度，能否达到使用需求；做工是否精细，有无瑕疵（如毛边、歪斜、脱胶、焊接不牢等）；在颜色、细节、造型等方面与最终确认稿的还原度。</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63F9E">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E3CC">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9A4C">
            <w:pPr>
              <w:snapToGrid w:val="0"/>
              <w:rPr>
                <w:rFonts w:hint="eastAsia" w:ascii="宋体" w:hAnsi="宋体" w:eastAsia="宋体" w:cs="宋体"/>
                <w:i w:val="0"/>
                <w:iCs w:val="0"/>
                <w:color w:val="000000"/>
                <w:sz w:val="28"/>
                <w:szCs w:val="28"/>
                <w:u w:val="none"/>
              </w:rPr>
            </w:pPr>
          </w:p>
        </w:tc>
      </w:tr>
      <w:tr w14:paraId="25970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B023">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B12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 品牌契合度</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088BD">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所有出品是否严格遵循医院的VI视觉识别系统（Logo、标准色、字体等），维护医院品牌形象的一致性。</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A89E3">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BC647">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E0726">
            <w:pPr>
              <w:snapToGrid w:val="0"/>
              <w:rPr>
                <w:rFonts w:hint="eastAsia" w:ascii="宋体" w:hAnsi="宋体" w:eastAsia="宋体" w:cs="宋体"/>
                <w:i w:val="0"/>
                <w:iCs w:val="0"/>
                <w:color w:val="000000"/>
                <w:sz w:val="28"/>
                <w:szCs w:val="28"/>
                <w:u w:val="none"/>
              </w:rPr>
            </w:pPr>
          </w:p>
        </w:tc>
      </w:tr>
      <w:tr w14:paraId="3BAD2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EE042">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A48B5">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 售后</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70414">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售后响应和处理是否及时。</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73BA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98DC">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F0EB7">
            <w:pPr>
              <w:snapToGrid w:val="0"/>
              <w:rPr>
                <w:rFonts w:hint="eastAsia" w:ascii="宋体" w:hAnsi="宋体" w:eastAsia="宋体" w:cs="宋体"/>
                <w:i w:val="0"/>
                <w:iCs w:val="0"/>
                <w:color w:val="000000"/>
                <w:sz w:val="28"/>
                <w:szCs w:val="28"/>
                <w:u w:val="none"/>
              </w:rPr>
            </w:pPr>
          </w:p>
        </w:tc>
      </w:tr>
      <w:tr w14:paraId="37C7A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1581">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067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1.6合同外广告</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88895">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合同清单外的广告报价是否合理，质量和工艺是否合格。</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55E0">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79A3">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868A">
            <w:pPr>
              <w:snapToGrid w:val="0"/>
              <w:rPr>
                <w:rFonts w:hint="eastAsia" w:ascii="宋体" w:hAnsi="宋体" w:eastAsia="宋体" w:cs="宋体"/>
                <w:i w:val="0"/>
                <w:iCs w:val="0"/>
                <w:color w:val="000000"/>
                <w:sz w:val="28"/>
                <w:szCs w:val="28"/>
                <w:u w:val="none"/>
              </w:rPr>
            </w:pPr>
          </w:p>
        </w:tc>
      </w:tr>
      <w:tr w14:paraId="1CF3C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68E9E">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二、项目执行与管理 (40分)</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2B55">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 响应速度</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20D60">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对接人响应是否及时；项目按时完成率是否高；对于紧急任务（如突发公共卫生事件宣传）的应对能力和速度；修改效率是否高。</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0B5B5">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41CC6">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181E0">
            <w:pPr>
              <w:snapToGrid w:val="0"/>
              <w:rPr>
                <w:rFonts w:hint="eastAsia" w:ascii="宋体" w:hAnsi="宋体" w:eastAsia="宋体" w:cs="宋体"/>
                <w:i w:val="0"/>
                <w:iCs w:val="0"/>
                <w:color w:val="000000"/>
                <w:sz w:val="28"/>
                <w:szCs w:val="28"/>
                <w:u w:val="none"/>
              </w:rPr>
            </w:pPr>
          </w:p>
        </w:tc>
      </w:tr>
      <w:tr w14:paraId="26EFD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6BE1B">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26FE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 流程规范性</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26FC8">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是否建立规范的工作流程（如需求确认、方案提报、修改反馈、验收流程）；执行是否清晰；因乙方排版、设计等环节造成的文字错漏，是否无条件免费修改重印。</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DF53">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AF0FA">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4B08">
            <w:pPr>
              <w:snapToGrid w:val="0"/>
              <w:rPr>
                <w:rFonts w:hint="eastAsia" w:ascii="宋体" w:hAnsi="宋体" w:eastAsia="宋体" w:cs="宋体"/>
                <w:i w:val="0"/>
                <w:iCs w:val="0"/>
                <w:color w:val="000000"/>
                <w:sz w:val="28"/>
                <w:szCs w:val="28"/>
                <w:u w:val="none"/>
              </w:rPr>
            </w:pPr>
          </w:p>
        </w:tc>
      </w:tr>
      <w:tr w14:paraId="12574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24BC1">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CB88">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 工期履约率</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B3717">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能否严格按照合同约定时间节点完成各阶段任务（包括设计、配送、安装等），无重大延误；运输和安装过程中是否对成品、现场环境有有效保护，无损坏或污染。</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CB6E">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5624C">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CD0A">
            <w:pPr>
              <w:snapToGrid w:val="0"/>
              <w:rPr>
                <w:rFonts w:hint="eastAsia" w:ascii="宋体" w:hAnsi="宋体" w:eastAsia="宋体" w:cs="宋体"/>
                <w:i w:val="0"/>
                <w:iCs w:val="0"/>
                <w:color w:val="000000"/>
                <w:sz w:val="28"/>
                <w:szCs w:val="28"/>
                <w:u w:val="none"/>
              </w:rPr>
            </w:pPr>
          </w:p>
        </w:tc>
      </w:tr>
      <w:tr w14:paraId="6FFDB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86860">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39D80">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 安全事故</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F2272">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有无发生重大失误或安全事故（如发布错误患者信息、违反广告法、安全事故等）</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AAEF">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DC1D5">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4F8A2">
            <w:pPr>
              <w:snapToGrid w:val="0"/>
              <w:rPr>
                <w:rFonts w:hint="eastAsia" w:ascii="宋体" w:hAnsi="宋体" w:eastAsia="宋体" w:cs="宋体"/>
                <w:i w:val="0"/>
                <w:iCs w:val="0"/>
                <w:color w:val="000000"/>
                <w:sz w:val="28"/>
                <w:szCs w:val="28"/>
                <w:u w:val="none"/>
              </w:rPr>
            </w:pPr>
          </w:p>
        </w:tc>
      </w:tr>
      <w:tr w14:paraId="07692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CE6D1">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85BE0">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 预算控制能力</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5FBD3">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能否在预算内完成项目，报价清晰合理，无频繁、不合理的额外隐性收费。</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C180D">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9333">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83CCB">
            <w:pPr>
              <w:snapToGrid w:val="0"/>
              <w:rPr>
                <w:rFonts w:hint="eastAsia" w:ascii="宋体" w:hAnsi="宋体" w:eastAsia="宋体" w:cs="宋体"/>
                <w:i w:val="0"/>
                <w:iCs w:val="0"/>
                <w:color w:val="000000"/>
                <w:sz w:val="28"/>
                <w:szCs w:val="28"/>
                <w:u w:val="none"/>
              </w:rPr>
            </w:pPr>
          </w:p>
        </w:tc>
      </w:tr>
      <w:tr w14:paraId="6E817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52B4F">
            <w:pPr>
              <w:keepNext w:val="0"/>
              <w:keepLines w:val="0"/>
              <w:widowControl/>
              <w:suppressLineNumbers w:val="0"/>
              <w:snapToGrid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三、沟通与协作 (20分)</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E5CC8">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 沟通有效性</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FA2F5">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沟通是否主动、顺畅；能否准确理解医院意图并完成设计；汇报逻辑清晰，条理分明。</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23E5">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A224">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DF37">
            <w:pPr>
              <w:snapToGrid w:val="0"/>
              <w:rPr>
                <w:rFonts w:hint="eastAsia" w:ascii="宋体" w:hAnsi="宋体" w:eastAsia="宋体" w:cs="宋体"/>
                <w:i w:val="0"/>
                <w:iCs w:val="0"/>
                <w:color w:val="000000"/>
                <w:sz w:val="28"/>
                <w:szCs w:val="28"/>
                <w:u w:val="none"/>
              </w:rPr>
            </w:pPr>
          </w:p>
        </w:tc>
      </w:tr>
      <w:tr w14:paraId="61667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628EA">
            <w:pPr>
              <w:snapToGrid w:val="0"/>
              <w:jc w:val="center"/>
              <w:rPr>
                <w:rFonts w:hint="eastAsia" w:ascii="宋体" w:hAnsi="宋体" w:eastAsia="宋体" w:cs="宋体"/>
                <w:b/>
                <w:bCs/>
                <w:i w:val="0"/>
                <w:iCs w:val="0"/>
                <w:color w:val="000000"/>
                <w:sz w:val="28"/>
                <w:szCs w:val="28"/>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707E6">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 服务态度与配合度</w:t>
            </w:r>
          </w:p>
        </w:tc>
        <w:tc>
          <w:tcPr>
            <w:tcW w:w="1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4A8CE">
            <w:pPr>
              <w:keepNext w:val="0"/>
              <w:keepLines w:val="0"/>
              <w:widowControl/>
              <w:suppressLineNumbers w:val="0"/>
              <w:snapToGrid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团队是否积极、热情；面对修改意见是否耐心、配合；是否主动为项目成功想办法。</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6C6E">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40BB">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AE85C">
            <w:pPr>
              <w:snapToGrid w:val="0"/>
              <w:rPr>
                <w:rFonts w:hint="eastAsia" w:ascii="宋体" w:hAnsi="宋体" w:eastAsia="宋体" w:cs="宋体"/>
                <w:i w:val="0"/>
                <w:iCs w:val="0"/>
                <w:color w:val="000000"/>
                <w:sz w:val="28"/>
                <w:szCs w:val="28"/>
                <w:u w:val="none"/>
              </w:rPr>
            </w:pPr>
          </w:p>
        </w:tc>
      </w:tr>
      <w:tr w14:paraId="01E17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8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FC39C">
            <w:pPr>
              <w:keepNext w:val="0"/>
              <w:keepLines w:val="0"/>
              <w:widowControl/>
              <w:suppressLineNumbers w:val="0"/>
              <w:snapToGrid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总分</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8097E">
            <w:pPr>
              <w:keepNext w:val="0"/>
              <w:keepLines w:val="0"/>
              <w:widowControl/>
              <w:suppressLineNumbers w:val="0"/>
              <w:snapToGrid w:val="0"/>
              <w:jc w:val="righ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BDF88">
            <w:pPr>
              <w:snapToGrid w:val="0"/>
              <w:rPr>
                <w:rFonts w:hint="eastAsia" w:ascii="宋体" w:hAnsi="宋体" w:eastAsia="宋体" w:cs="宋体"/>
                <w:i w:val="0"/>
                <w:iCs w:val="0"/>
                <w:color w:val="000000"/>
                <w:sz w:val="28"/>
                <w:szCs w:val="28"/>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74FA2">
            <w:pPr>
              <w:snapToGrid w:val="0"/>
              <w:rPr>
                <w:rFonts w:hint="eastAsia" w:ascii="宋体" w:hAnsi="宋体" w:eastAsia="宋体" w:cs="宋体"/>
                <w:i w:val="0"/>
                <w:iCs w:val="0"/>
                <w:color w:val="000000"/>
                <w:sz w:val="28"/>
                <w:szCs w:val="28"/>
                <w:u w:val="none"/>
              </w:rPr>
            </w:pPr>
          </w:p>
        </w:tc>
      </w:tr>
    </w:tbl>
    <w:p w14:paraId="59B752AA">
      <w:pPr>
        <w:widowControl/>
        <w:jc w:val="left"/>
        <w:rPr>
          <w:rFonts w:ascii="Cambria" w:hAnsi="Cambria"/>
          <w:b/>
          <w:bCs/>
          <w:kern w:val="28"/>
          <w:sz w:val="32"/>
          <w:szCs w:val="32"/>
          <w:lang w:bidi="en-US"/>
        </w:rPr>
      </w:pPr>
      <w:r>
        <w:rPr>
          <w:rFonts w:hint="eastAsia"/>
          <w:lang w:eastAsia="zh-CN"/>
        </w:rPr>
        <w:t>备注：最终考核表以正式合同附件为准。</w:t>
      </w:r>
      <w:r>
        <w:br w:type="page"/>
      </w:r>
    </w:p>
    <w:p w14:paraId="03218018">
      <w:pPr>
        <w:pStyle w:val="26"/>
        <w:rPr>
          <w:lang w:eastAsia="zh-CN"/>
        </w:rPr>
      </w:pPr>
      <w:r>
        <w:rPr>
          <w:rFonts w:hint="eastAsia"/>
          <w:lang w:eastAsia="zh-CN"/>
        </w:rPr>
        <w:t>第六章 响应文件格式范例</w:t>
      </w:r>
      <w:bookmarkEnd w:id="40"/>
    </w:p>
    <w:p w14:paraId="0437B871">
      <w:pPr>
        <w:rPr>
          <w:rFonts w:ascii="宋体" w:hAnsi="宋体"/>
          <w:b/>
          <w:sz w:val="28"/>
          <w:szCs w:val="28"/>
        </w:rPr>
      </w:pPr>
      <w:r>
        <w:rPr>
          <w:rFonts w:hint="eastAsia" w:ascii="宋体" w:hAnsi="宋体"/>
          <w:b/>
          <w:sz w:val="28"/>
          <w:szCs w:val="28"/>
        </w:rPr>
        <w:t>附件1</w:t>
      </w:r>
      <w:r>
        <w:rPr>
          <w:rFonts w:hint="eastAsia" w:ascii="宋体" w:hAnsi="宋体"/>
          <w:sz w:val="30"/>
          <w:szCs w:val="30"/>
        </w:rPr>
        <w:t>　　　　正本或副本</w:t>
      </w:r>
    </w:p>
    <w:p w14:paraId="1721132E">
      <w:pPr>
        <w:ind w:right="-110"/>
        <w:jc w:val="center"/>
        <w:rPr>
          <w:rFonts w:ascii="宋体" w:hAnsi="宋体"/>
          <w:spacing w:val="40"/>
          <w:sz w:val="52"/>
          <w:szCs w:val="52"/>
        </w:rPr>
      </w:pPr>
    </w:p>
    <w:p w14:paraId="681A89E9">
      <w:pPr>
        <w:ind w:right="-110"/>
        <w:jc w:val="center"/>
        <w:rPr>
          <w:rFonts w:ascii="宋体" w:hAnsi="宋体"/>
          <w:spacing w:val="40"/>
          <w:sz w:val="44"/>
          <w:szCs w:val="44"/>
        </w:rPr>
      </w:pPr>
      <w:r>
        <w:rPr>
          <w:rFonts w:hint="eastAsia" w:ascii="宋体" w:hAnsi="宋体"/>
          <w:spacing w:val="40"/>
          <w:sz w:val="44"/>
          <w:szCs w:val="44"/>
        </w:rPr>
        <w:t>项目名称</w:t>
      </w:r>
    </w:p>
    <w:p w14:paraId="78D38D25">
      <w:pPr>
        <w:spacing w:before="312" w:beforeLines="100" w:line="240" w:lineRule="atLeast"/>
        <w:ind w:right="-108"/>
        <w:jc w:val="center"/>
        <w:rPr>
          <w:rFonts w:ascii="宋体" w:hAnsi="宋体"/>
          <w:sz w:val="32"/>
          <w:szCs w:val="32"/>
        </w:rPr>
      </w:pPr>
      <w:r>
        <w:rPr>
          <w:rFonts w:hint="eastAsia" w:ascii="宋体" w:hAnsi="宋体"/>
          <w:sz w:val="32"/>
          <w:szCs w:val="32"/>
        </w:rPr>
        <w:t>项目编号：</w:t>
      </w:r>
    </w:p>
    <w:p w14:paraId="003F62D8">
      <w:pPr>
        <w:spacing w:before="312" w:beforeLines="100" w:line="240" w:lineRule="atLeast"/>
        <w:ind w:right="-108"/>
        <w:jc w:val="center"/>
        <w:rPr>
          <w:rFonts w:ascii="宋体" w:hAnsi="宋体"/>
          <w:sz w:val="32"/>
          <w:szCs w:val="32"/>
        </w:rPr>
      </w:pPr>
    </w:p>
    <w:p w14:paraId="0D33272A">
      <w:pPr>
        <w:spacing w:after="100" w:afterAutospacing="1" w:line="360" w:lineRule="auto"/>
        <w:ind w:right="-108"/>
        <w:jc w:val="center"/>
        <w:rPr>
          <w:rFonts w:ascii="宋体" w:hAnsi="宋体"/>
          <w:b/>
          <w:spacing w:val="40"/>
          <w:sz w:val="72"/>
          <w:szCs w:val="72"/>
        </w:rPr>
      </w:pPr>
      <w:r>
        <w:rPr>
          <w:rFonts w:hint="eastAsia" w:ascii="宋体" w:hAnsi="宋体"/>
          <w:b/>
          <w:spacing w:val="40"/>
          <w:sz w:val="72"/>
          <w:szCs w:val="72"/>
        </w:rPr>
        <w:t>响</w:t>
      </w:r>
    </w:p>
    <w:p w14:paraId="3C294B6F">
      <w:pPr>
        <w:spacing w:after="100" w:afterAutospacing="1" w:line="360" w:lineRule="auto"/>
        <w:ind w:right="-108"/>
        <w:jc w:val="center"/>
        <w:rPr>
          <w:rFonts w:ascii="宋体" w:hAnsi="宋体"/>
          <w:b/>
          <w:spacing w:val="40"/>
          <w:sz w:val="72"/>
          <w:szCs w:val="72"/>
        </w:rPr>
      </w:pPr>
      <w:r>
        <w:rPr>
          <w:rFonts w:hint="eastAsia" w:ascii="宋体" w:hAnsi="宋体"/>
          <w:b/>
          <w:spacing w:val="40"/>
          <w:sz w:val="72"/>
          <w:szCs w:val="72"/>
        </w:rPr>
        <w:t>应</w:t>
      </w:r>
    </w:p>
    <w:p w14:paraId="719457ED">
      <w:pPr>
        <w:spacing w:after="100" w:afterAutospacing="1" w:line="360" w:lineRule="auto"/>
        <w:ind w:right="-108"/>
        <w:jc w:val="center"/>
        <w:rPr>
          <w:rFonts w:ascii="宋体" w:hAnsi="宋体"/>
          <w:b/>
          <w:spacing w:val="40"/>
          <w:sz w:val="72"/>
          <w:szCs w:val="72"/>
        </w:rPr>
      </w:pPr>
      <w:r>
        <w:rPr>
          <w:rFonts w:hint="eastAsia" w:ascii="宋体" w:hAnsi="宋体"/>
          <w:b/>
          <w:spacing w:val="40"/>
          <w:sz w:val="72"/>
          <w:szCs w:val="72"/>
        </w:rPr>
        <w:t>文</w:t>
      </w:r>
    </w:p>
    <w:p w14:paraId="5BED057C">
      <w:pPr>
        <w:spacing w:after="100" w:afterAutospacing="1" w:line="360" w:lineRule="auto"/>
        <w:ind w:right="-108"/>
        <w:jc w:val="center"/>
        <w:rPr>
          <w:rFonts w:ascii="宋体" w:hAnsi="宋体"/>
          <w:b/>
          <w:spacing w:val="40"/>
          <w:sz w:val="84"/>
          <w:szCs w:val="84"/>
        </w:rPr>
      </w:pPr>
      <w:r>
        <w:rPr>
          <w:rFonts w:hint="eastAsia" w:ascii="宋体" w:hAnsi="宋体"/>
          <w:b/>
          <w:spacing w:val="40"/>
          <w:sz w:val="72"/>
          <w:szCs w:val="72"/>
        </w:rPr>
        <w:t>件</w:t>
      </w:r>
    </w:p>
    <w:p w14:paraId="0280406B">
      <w:pPr>
        <w:spacing w:line="500" w:lineRule="exact"/>
        <w:ind w:right="532"/>
        <w:jc w:val="center"/>
        <w:rPr>
          <w:rFonts w:ascii="宋体" w:hAnsi="宋体"/>
          <w:sz w:val="36"/>
          <w:szCs w:val="36"/>
        </w:rPr>
      </w:pPr>
    </w:p>
    <w:p w14:paraId="644708F2">
      <w:pPr>
        <w:spacing w:line="500" w:lineRule="exact"/>
        <w:ind w:right="532" w:firstLine="720" w:firstLineChars="200"/>
        <w:rPr>
          <w:rFonts w:ascii="宋体" w:hAnsi="宋体"/>
          <w:sz w:val="36"/>
          <w:szCs w:val="36"/>
        </w:rPr>
      </w:pPr>
      <w:r>
        <w:rPr>
          <w:rFonts w:hint="eastAsia" w:ascii="宋体" w:hAnsi="宋体"/>
          <w:sz w:val="36"/>
          <w:szCs w:val="36"/>
        </w:rPr>
        <w:t>供应商全称（公章）：</w:t>
      </w:r>
    </w:p>
    <w:p w14:paraId="757452E8">
      <w:pPr>
        <w:wordWrap w:val="0"/>
        <w:spacing w:line="500" w:lineRule="exact"/>
        <w:ind w:right="-108" w:firstLine="720" w:firstLineChars="200"/>
        <w:rPr>
          <w:rFonts w:ascii="宋体" w:hAnsi="宋体"/>
          <w:sz w:val="36"/>
          <w:szCs w:val="36"/>
        </w:rPr>
      </w:pPr>
      <w:r>
        <w:rPr>
          <w:rFonts w:hint="eastAsia" w:ascii="宋体" w:hAnsi="宋体"/>
          <w:sz w:val="36"/>
          <w:szCs w:val="36"/>
        </w:rPr>
        <w:t>地    址：</w:t>
      </w:r>
    </w:p>
    <w:p w14:paraId="5B261DD2">
      <w:pPr>
        <w:wordWrap w:val="0"/>
        <w:spacing w:line="500" w:lineRule="exact"/>
        <w:ind w:right="-108" w:firstLine="720" w:firstLineChars="200"/>
        <w:rPr>
          <w:rFonts w:ascii="宋体" w:hAnsi="宋体"/>
          <w:sz w:val="36"/>
          <w:szCs w:val="36"/>
        </w:rPr>
      </w:pPr>
      <w:r>
        <w:rPr>
          <w:rFonts w:hint="eastAsia" w:ascii="宋体" w:hAnsi="宋体"/>
          <w:sz w:val="36"/>
          <w:szCs w:val="36"/>
        </w:rPr>
        <w:t>时    间：</w:t>
      </w:r>
    </w:p>
    <w:p w14:paraId="2D00F167">
      <w:pPr>
        <w:spacing w:line="360" w:lineRule="auto"/>
        <w:ind w:firstLine="420" w:firstLineChars="150"/>
        <w:rPr>
          <w:rFonts w:ascii="黑体" w:eastAsia="黑体"/>
          <w:sz w:val="28"/>
          <w:szCs w:val="28"/>
        </w:rPr>
      </w:pPr>
    </w:p>
    <w:p w14:paraId="51197F18">
      <w:pPr>
        <w:pStyle w:val="28"/>
        <w:ind w:firstLine="200"/>
      </w:pPr>
    </w:p>
    <w:p w14:paraId="427806C1">
      <w:pPr>
        <w:spacing w:line="360" w:lineRule="auto"/>
        <w:ind w:firstLine="361" w:firstLineChars="150"/>
        <w:jc w:val="center"/>
        <w:rPr>
          <w:rFonts w:ascii="宋体" w:hAnsi="宋体"/>
          <w:b/>
          <w:sz w:val="24"/>
          <w:szCs w:val="24"/>
        </w:rPr>
      </w:pPr>
    </w:p>
    <w:p w14:paraId="2F982F23">
      <w:pPr>
        <w:spacing w:line="360" w:lineRule="auto"/>
        <w:ind w:firstLine="361" w:firstLineChars="150"/>
        <w:jc w:val="center"/>
        <w:rPr>
          <w:rFonts w:ascii="宋体" w:hAnsi="宋体"/>
          <w:b/>
          <w:sz w:val="24"/>
          <w:szCs w:val="24"/>
        </w:rPr>
      </w:pPr>
    </w:p>
    <w:p w14:paraId="2A3202F7">
      <w:pPr>
        <w:spacing w:line="360" w:lineRule="auto"/>
        <w:ind w:firstLine="361" w:firstLineChars="150"/>
        <w:jc w:val="center"/>
        <w:rPr>
          <w:rFonts w:ascii="宋体" w:hAnsi="宋体"/>
          <w:b/>
          <w:sz w:val="24"/>
          <w:szCs w:val="24"/>
        </w:rPr>
      </w:pPr>
    </w:p>
    <w:p w14:paraId="4CBAC226">
      <w:pPr>
        <w:snapToGrid w:val="0"/>
        <w:spacing w:before="50" w:after="50"/>
        <w:ind w:left="481" w:leftChars="229" w:firstLine="281" w:firstLineChars="100"/>
        <w:rPr>
          <w:rFonts w:ascii="宋体" w:hAnsi="宋体"/>
          <w:b/>
          <w:sz w:val="28"/>
          <w:szCs w:val="28"/>
        </w:rPr>
      </w:pPr>
      <w:r>
        <w:rPr>
          <w:rFonts w:hint="eastAsia" w:ascii="宋体" w:hAnsi="宋体"/>
          <w:b/>
          <w:sz w:val="28"/>
          <w:szCs w:val="28"/>
        </w:rPr>
        <w:t>附件2　　　　　　　</w:t>
      </w:r>
    </w:p>
    <w:p w14:paraId="46D6323C">
      <w:pPr>
        <w:snapToGrid w:val="0"/>
        <w:spacing w:before="50" w:after="50"/>
        <w:ind w:left="481" w:leftChars="229" w:firstLine="321" w:firstLineChars="100"/>
        <w:jc w:val="center"/>
        <w:rPr>
          <w:rFonts w:ascii="宋体" w:hAnsi="宋体"/>
          <w:b/>
          <w:bCs/>
          <w:sz w:val="32"/>
          <w:szCs w:val="32"/>
        </w:rPr>
      </w:pPr>
    </w:p>
    <w:p w14:paraId="7A998744">
      <w:pPr>
        <w:snapToGrid w:val="0"/>
        <w:spacing w:before="50" w:after="50"/>
        <w:ind w:left="481" w:leftChars="229" w:firstLine="442" w:firstLineChars="100"/>
        <w:jc w:val="center"/>
        <w:rPr>
          <w:rFonts w:ascii="宋体" w:hAnsi="宋体"/>
          <w:b/>
          <w:bCs/>
          <w:sz w:val="44"/>
          <w:szCs w:val="44"/>
        </w:rPr>
      </w:pPr>
      <w:r>
        <w:rPr>
          <w:rFonts w:hint="eastAsia" w:ascii="宋体" w:hAnsi="宋体"/>
          <w:b/>
          <w:bCs/>
          <w:sz w:val="44"/>
          <w:szCs w:val="44"/>
        </w:rPr>
        <w:t>目　　录</w:t>
      </w:r>
    </w:p>
    <w:p w14:paraId="6D60BE93">
      <w:pPr>
        <w:snapToGrid w:val="0"/>
        <w:spacing w:before="50" w:after="50"/>
        <w:ind w:left="481" w:leftChars="229" w:firstLine="301" w:firstLineChars="100"/>
        <w:jc w:val="center"/>
        <w:rPr>
          <w:rFonts w:ascii="宋体" w:hAnsi="宋体"/>
          <w:b/>
          <w:bCs/>
          <w:sz w:val="30"/>
          <w:szCs w:val="30"/>
        </w:rPr>
      </w:pPr>
    </w:p>
    <w:p w14:paraId="69BEA0E8">
      <w:pPr>
        <w:autoSpaceDE w:val="0"/>
        <w:autoSpaceDN w:val="0"/>
        <w:adjustRightInd w:val="0"/>
        <w:spacing w:line="360" w:lineRule="auto"/>
        <w:ind w:left="480"/>
        <w:rPr>
          <w:rFonts w:ascii="宋体" w:hAnsi="宋体"/>
        </w:rPr>
      </w:pPr>
      <w:r>
        <w:rPr>
          <w:rFonts w:hint="eastAsia" w:ascii="宋体" w:hAnsi="宋体"/>
        </w:rPr>
        <w:t>1.评分索引表</w:t>
      </w:r>
      <w:r>
        <w:rPr>
          <w:rFonts w:ascii="宋体" w:hAnsi="宋体"/>
        </w:rPr>
        <w:t>……………………………………………………………………</w:t>
      </w:r>
      <w:r>
        <w:rPr>
          <w:rFonts w:hint="eastAsia" w:ascii="宋体" w:hAnsi="宋体"/>
        </w:rPr>
        <w:t>1</w:t>
      </w:r>
    </w:p>
    <w:p w14:paraId="4542EA6C">
      <w:pPr>
        <w:autoSpaceDE w:val="0"/>
        <w:autoSpaceDN w:val="0"/>
        <w:adjustRightInd w:val="0"/>
        <w:spacing w:line="360" w:lineRule="auto"/>
        <w:ind w:left="480"/>
        <w:rPr>
          <w:rFonts w:ascii="宋体" w:hAnsi="宋体"/>
        </w:rPr>
      </w:pPr>
      <w:r>
        <w:rPr>
          <w:rFonts w:hint="eastAsia" w:ascii="宋体" w:hAnsi="宋体"/>
        </w:rPr>
        <w:t>2.报价单</w:t>
      </w:r>
      <w:r>
        <w:rPr>
          <w:rFonts w:ascii="宋体" w:hAnsi="宋体"/>
        </w:rPr>
        <w:t>…………………………………………………………………………</w:t>
      </w:r>
    </w:p>
    <w:p w14:paraId="778D36A3">
      <w:pPr>
        <w:autoSpaceDE w:val="0"/>
        <w:autoSpaceDN w:val="0"/>
        <w:adjustRightInd w:val="0"/>
        <w:spacing w:line="360" w:lineRule="auto"/>
        <w:ind w:left="481" w:leftChars="229" w:firstLine="210" w:firstLineChars="100"/>
        <w:rPr>
          <w:rFonts w:ascii="宋体" w:hAnsi="宋体"/>
        </w:rPr>
      </w:pPr>
      <w:r>
        <w:rPr>
          <w:rFonts w:hint="eastAsia" w:ascii="宋体" w:hAnsi="宋体"/>
        </w:rPr>
        <w:t>1.1.首次报价一览表</w:t>
      </w:r>
      <w:r>
        <w:rPr>
          <w:rFonts w:ascii="宋体" w:hAnsi="宋体"/>
        </w:rPr>
        <w:t>…………………………………………………………</w:t>
      </w:r>
    </w:p>
    <w:p w14:paraId="5DFA4C56">
      <w:pPr>
        <w:tabs>
          <w:tab w:val="left" w:pos="1898"/>
        </w:tabs>
        <w:autoSpaceDE w:val="0"/>
        <w:autoSpaceDN w:val="0"/>
        <w:adjustRightInd w:val="0"/>
        <w:spacing w:line="360" w:lineRule="auto"/>
        <w:ind w:left="481" w:leftChars="229" w:firstLine="630" w:firstLineChars="300"/>
        <w:rPr>
          <w:rFonts w:ascii="宋体" w:hAnsi="宋体"/>
        </w:rPr>
      </w:pPr>
      <w:r>
        <w:rPr>
          <w:rFonts w:ascii="宋体" w:hAnsi="宋体"/>
        </w:rPr>
        <w:t>……</w:t>
      </w:r>
    </w:p>
    <w:p w14:paraId="401D44BE">
      <w:pPr>
        <w:autoSpaceDE w:val="0"/>
        <w:autoSpaceDN w:val="0"/>
        <w:adjustRightInd w:val="0"/>
        <w:spacing w:line="360" w:lineRule="auto"/>
        <w:ind w:left="480"/>
        <w:rPr>
          <w:rFonts w:ascii="宋体" w:hAnsi="宋体"/>
        </w:rPr>
      </w:pPr>
      <w:r>
        <w:rPr>
          <w:rFonts w:hint="eastAsia" w:ascii="宋体" w:hAnsi="宋体" w:cs="宋体"/>
        </w:rPr>
        <w:t>3.资信与技术文件</w:t>
      </w:r>
      <w:r>
        <w:rPr>
          <w:rFonts w:ascii="宋体" w:hAnsi="宋体"/>
        </w:rPr>
        <w:t>…………………………………………………………………</w:t>
      </w:r>
    </w:p>
    <w:p w14:paraId="12C475E5">
      <w:pPr>
        <w:autoSpaceDE w:val="0"/>
        <w:autoSpaceDN w:val="0"/>
        <w:adjustRightInd w:val="0"/>
        <w:spacing w:line="360" w:lineRule="auto"/>
        <w:ind w:left="481" w:leftChars="229" w:firstLine="210" w:firstLineChars="100"/>
        <w:rPr>
          <w:rFonts w:ascii="宋体" w:hAnsi="宋体" w:cs="宋体"/>
        </w:rPr>
      </w:pPr>
      <w:r>
        <w:rPr>
          <w:rFonts w:hint="eastAsia" w:ascii="宋体" w:hAnsi="宋体" w:cs="宋体"/>
        </w:rPr>
        <w:t>3.1.资格证明文件</w:t>
      </w:r>
      <w:r>
        <w:rPr>
          <w:rFonts w:ascii="宋体" w:hAnsi="宋体"/>
        </w:rPr>
        <w:t>……………………………………………………</w:t>
      </w:r>
    </w:p>
    <w:p w14:paraId="5FCDDDCC">
      <w:pPr>
        <w:tabs>
          <w:tab w:val="left" w:pos="1898"/>
        </w:tabs>
        <w:autoSpaceDE w:val="0"/>
        <w:autoSpaceDN w:val="0"/>
        <w:adjustRightInd w:val="0"/>
        <w:spacing w:line="360" w:lineRule="auto"/>
        <w:ind w:firstLine="1050" w:firstLineChars="500"/>
        <w:rPr>
          <w:rFonts w:ascii="宋体" w:hAnsi="宋体"/>
        </w:rPr>
      </w:pPr>
      <w:r>
        <w:rPr>
          <w:rFonts w:hint="eastAsia" w:ascii="宋体" w:hAnsi="宋体"/>
        </w:rPr>
        <w:t>3.1.1.声明书</w:t>
      </w:r>
      <w:r>
        <w:rPr>
          <w:rFonts w:ascii="宋体" w:hAnsi="宋体"/>
        </w:rPr>
        <w:t>………………………………………………………</w:t>
      </w:r>
    </w:p>
    <w:p w14:paraId="730B4E28">
      <w:pPr>
        <w:tabs>
          <w:tab w:val="left" w:pos="1898"/>
        </w:tabs>
        <w:autoSpaceDE w:val="0"/>
        <w:autoSpaceDN w:val="0"/>
        <w:adjustRightInd w:val="0"/>
        <w:spacing w:line="360" w:lineRule="auto"/>
        <w:ind w:firstLine="1050" w:firstLineChars="500"/>
        <w:rPr>
          <w:rFonts w:ascii="宋体" w:hAnsi="宋体"/>
        </w:rPr>
      </w:pPr>
      <w:r>
        <w:rPr>
          <w:rFonts w:hint="eastAsia" w:ascii="宋体" w:hAnsi="宋体"/>
        </w:rPr>
        <w:t>3.1.2.法定代表人(负责人)授权书</w:t>
      </w:r>
    </w:p>
    <w:p w14:paraId="03B30933">
      <w:pPr>
        <w:tabs>
          <w:tab w:val="left" w:pos="1898"/>
        </w:tabs>
        <w:autoSpaceDE w:val="0"/>
        <w:autoSpaceDN w:val="0"/>
        <w:adjustRightInd w:val="0"/>
        <w:spacing w:line="360" w:lineRule="auto"/>
        <w:ind w:firstLine="1050" w:firstLineChars="500"/>
        <w:rPr>
          <w:rFonts w:ascii="宋体" w:hAnsi="宋体"/>
        </w:rPr>
      </w:pPr>
      <w:r>
        <w:rPr>
          <w:rFonts w:hint="eastAsia" w:ascii="宋体" w:hAnsi="宋体"/>
        </w:rPr>
        <w:t>3.1.3.营业执照</w:t>
      </w:r>
      <w:r>
        <w:rPr>
          <w:rFonts w:ascii="宋体" w:hAnsi="宋体"/>
        </w:rPr>
        <w:t>…………………………………………………………</w:t>
      </w:r>
    </w:p>
    <w:p w14:paraId="78FA9874">
      <w:pPr>
        <w:tabs>
          <w:tab w:val="left" w:pos="1898"/>
        </w:tabs>
        <w:autoSpaceDE w:val="0"/>
        <w:autoSpaceDN w:val="0"/>
        <w:adjustRightInd w:val="0"/>
        <w:spacing w:line="360" w:lineRule="auto"/>
        <w:ind w:left="481" w:leftChars="229" w:firstLine="630" w:firstLineChars="300"/>
        <w:rPr>
          <w:rFonts w:ascii="宋体" w:hAnsi="宋体"/>
        </w:rPr>
      </w:pPr>
      <w:r>
        <w:rPr>
          <w:rFonts w:ascii="宋体" w:hAnsi="宋体"/>
        </w:rPr>
        <w:t>……</w:t>
      </w:r>
    </w:p>
    <w:p w14:paraId="3D973F82">
      <w:pPr>
        <w:autoSpaceDE w:val="0"/>
        <w:autoSpaceDN w:val="0"/>
        <w:adjustRightInd w:val="0"/>
        <w:spacing w:line="360" w:lineRule="auto"/>
        <w:ind w:firstLine="840" w:firstLineChars="400"/>
        <w:rPr>
          <w:rFonts w:ascii="宋体" w:hAnsi="宋体" w:cs="宋体"/>
        </w:rPr>
      </w:pPr>
      <w:r>
        <w:rPr>
          <w:rFonts w:hint="eastAsia" w:ascii="宋体" w:hAnsi="宋体" w:cs="宋体"/>
        </w:rPr>
        <w:t>3.2.商务与技术</w:t>
      </w:r>
      <w:r>
        <w:rPr>
          <w:rFonts w:hint="eastAsia" w:ascii="宋体" w:hAnsi="宋体"/>
          <w:bCs/>
        </w:rPr>
        <w:t>文件</w:t>
      </w:r>
      <w:r>
        <w:rPr>
          <w:rFonts w:ascii="宋体" w:hAnsi="宋体"/>
        </w:rPr>
        <w:t>………………………………………………………</w:t>
      </w:r>
    </w:p>
    <w:p w14:paraId="3FC167A5">
      <w:pPr>
        <w:autoSpaceDE w:val="0"/>
        <w:autoSpaceDN w:val="0"/>
        <w:adjustRightInd w:val="0"/>
        <w:spacing w:line="360" w:lineRule="auto"/>
        <w:ind w:left="481" w:leftChars="229" w:firstLine="630" w:firstLineChars="300"/>
        <w:rPr>
          <w:rFonts w:ascii="宋体" w:hAnsi="宋体" w:cs="宋体"/>
        </w:rPr>
      </w:pPr>
      <w:r>
        <w:rPr>
          <w:rFonts w:hint="eastAsia" w:ascii="宋体" w:hAnsi="宋体" w:cs="宋体"/>
        </w:rPr>
        <w:t>3.2.1.供应商基本情况表</w:t>
      </w:r>
      <w:r>
        <w:rPr>
          <w:rFonts w:ascii="宋体" w:hAnsi="宋体"/>
        </w:rPr>
        <w:t>…………………………………………</w:t>
      </w:r>
    </w:p>
    <w:p w14:paraId="7127D055">
      <w:pPr>
        <w:autoSpaceDE w:val="0"/>
        <w:autoSpaceDN w:val="0"/>
        <w:adjustRightInd w:val="0"/>
        <w:spacing w:line="360" w:lineRule="auto"/>
        <w:ind w:firstLine="1050" w:firstLineChars="500"/>
        <w:rPr>
          <w:rFonts w:ascii="宋体" w:hAnsi="宋体"/>
        </w:rPr>
      </w:pPr>
      <w:r>
        <w:rPr>
          <w:rFonts w:hint="eastAsia" w:ascii="宋体" w:hAnsi="宋体"/>
        </w:rPr>
        <w:t>3.2.2.技术及商务需求响应表</w:t>
      </w:r>
      <w:r>
        <w:rPr>
          <w:rFonts w:ascii="宋体" w:hAnsi="宋体"/>
        </w:rPr>
        <w:t>…………………………………………</w:t>
      </w:r>
    </w:p>
    <w:p w14:paraId="69CF7D4C">
      <w:pPr>
        <w:autoSpaceDE w:val="0"/>
        <w:autoSpaceDN w:val="0"/>
        <w:adjustRightInd w:val="0"/>
        <w:spacing w:line="360" w:lineRule="auto"/>
        <w:ind w:firstLine="1050" w:firstLineChars="500"/>
        <w:rPr>
          <w:rFonts w:ascii="宋体" w:hAnsi="宋体"/>
        </w:rPr>
      </w:pPr>
      <w:r>
        <w:rPr>
          <w:rFonts w:hint="eastAsia" w:ascii="宋体" w:hAnsi="宋体"/>
        </w:rPr>
        <w:t>3.2.3. 技术及服务方案</w:t>
      </w:r>
      <w:r>
        <w:rPr>
          <w:rFonts w:ascii="宋体" w:hAnsi="宋体"/>
        </w:rPr>
        <w:t>…………………………………………</w:t>
      </w:r>
    </w:p>
    <w:p w14:paraId="77BC9431">
      <w:pPr>
        <w:autoSpaceDE w:val="0"/>
        <w:autoSpaceDN w:val="0"/>
        <w:adjustRightInd w:val="0"/>
        <w:spacing w:line="360" w:lineRule="auto"/>
        <w:ind w:firstLine="1050" w:firstLineChars="500"/>
        <w:rPr>
          <w:rFonts w:ascii="宋体" w:hAnsi="宋体" w:cs="宋体"/>
        </w:rPr>
      </w:pPr>
      <w:r>
        <w:rPr>
          <w:rFonts w:ascii="宋体" w:hAnsi="宋体"/>
        </w:rPr>
        <w:t>……</w:t>
      </w:r>
    </w:p>
    <w:p w14:paraId="68D476A3">
      <w:pPr>
        <w:snapToGrid w:val="0"/>
        <w:spacing w:line="460" w:lineRule="exact"/>
        <w:ind w:left="481" w:leftChars="229" w:firstLine="210" w:firstLineChars="100"/>
        <w:rPr>
          <w:rFonts w:ascii="宋体" w:hAnsi="宋体"/>
          <w:bCs/>
        </w:rPr>
      </w:pPr>
    </w:p>
    <w:p w14:paraId="01D807FB">
      <w:pPr>
        <w:snapToGrid w:val="0"/>
        <w:spacing w:line="460" w:lineRule="exact"/>
        <w:ind w:left="481" w:leftChars="229" w:firstLine="210" w:firstLineChars="100"/>
        <w:rPr>
          <w:rFonts w:ascii="宋体" w:hAnsi="宋体"/>
          <w:bCs/>
        </w:rPr>
      </w:pPr>
    </w:p>
    <w:p w14:paraId="02AB053E">
      <w:pPr>
        <w:pStyle w:val="13"/>
      </w:pPr>
    </w:p>
    <w:p w14:paraId="3139289E">
      <w:pPr>
        <w:pStyle w:val="22"/>
      </w:pPr>
    </w:p>
    <w:p w14:paraId="2C56AC7E">
      <w:pPr>
        <w:rPr>
          <w:b/>
        </w:rPr>
      </w:pPr>
      <w:r>
        <w:rPr>
          <w:b/>
        </w:rPr>
        <w:t>（注：目录内容以供应商实际提供为准）</w:t>
      </w:r>
    </w:p>
    <w:p w14:paraId="3E8D1C89">
      <w:pPr>
        <w:pStyle w:val="13"/>
      </w:pPr>
    </w:p>
    <w:p w14:paraId="3DAAB5BC">
      <w:pPr>
        <w:pStyle w:val="28"/>
        <w:ind w:firstLine="200"/>
      </w:pPr>
    </w:p>
    <w:p w14:paraId="3F5D9DCD">
      <w:pPr>
        <w:snapToGrid w:val="0"/>
        <w:spacing w:line="460" w:lineRule="exact"/>
        <w:ind w:left="481" w:leftChars="229" w:firstLine="210" w:firstLineChars="100"/>
        <w:rPr>
          <w:rFonts w:ascii="宋体" w:hAnsi="宋体"/>
        </w:rPr>
      </w:pPr>
    </w:p>
    <w:p w14:paraId="7CB6F45A">
      <w:pPr>
        <w:widowControl/>
        <w:jc w:val="left"/>
        <w:rPr>
          <w:rFonts w:ascii="宋体" w:hAnsi="宋体"/>
          <w:b/>
          <w:sz w:val="28"/>
        </w:rPr>
      </w:pPr>
      <w:r>
        <w:rPr>
          <w:rFonts w:ascii="宋体" w:hAnsi="宋体"/>
          <w:b/>
          <w:sz w:val="28"/>
        </w:rPr>
        <w:br w:type="page"/>
      </w:r>
    </w:p>
    <w:p w14:paraId="1F07737C">
      <w:pPr>
        <w:spacing w:line="360" w:lineRule="atLeast"/>
        <w:ind w:left="480"/>
        <w:rPr>
          <w:rFonts w:ascii="宋体" w:hAnsi="宋体"/>
          <w:b/>
          <w:sz w:val="28"/>
        </w:rPr>
      </w:pPr>
      <w:r>
        <w:rPr>
          <w:rFonts w:hint="eastAsia" w:ascii="宋体" w:hAnsi="宋体"/>
          <w:b/>
          <w:sz w:val="28"/>
        </w:rPr>
        <w:t>附件3</w:t>
      </w:r>
    </w:p>
    <w:p w14:paraId="683ED08D">
      <w:pPr>
        <w:spacing w:line="360" w:lineRule="auto"/>
        <w:ind w:left="420"/>
        <w:jc w:val="center"/>
        <w:rPr>
          <w:rFonts w:ascii="宋体" w:hAnsi="宋体"/>
          <w:b/>
          <w:sz w:val="28"/>
        </w:rPr>
      </w:pPr>
      <w:r>
        <w:rPr>
          <w:rFonts w:hint="eastAsia" w:ascii="宋体" w:hAnsi="宋体"/>
          <w:b/>
          <w:sz w:val="28"/>
        </w:rPr>
        <w:t>评分索引表</w:t>
      </w:r>
    </w:p>
    <w:p w14:paraId="714097CB">
      <w:pPr>
        <w:spacing w:line="360" w:lineRule="atLeast"/>
        <w:ind w:left="480"/>
        <w:rPr>
          <w:rFonts w:ascii="宋体" w:hAnsi="宋体"/>
          <w:b/>
          <w:sz w:val="28"/>
        </w:rPr>
      </w:pPr>
    </w:p>
    <w:p w14:paraId="669D010C">
      <w:pPr>
        <w:spacing w:line="360" w:lineRule="atLeast"/>
        <w:ind w:left="480"/>
        <w:rPr>
          <w:rFonts w:ascii="宋体" w:hAnsi="宋体"/>
          <w:b/>
          <w:sz w:val="28"/>
        </w:rPr>
      </w:pPr>
      <w:r>
        <w:rPr>
          <w:rFonts w:ascii="宋体" w:hAnsi="宋体"/>
          <w:b/>
          <w:sz w:val="28"/>
        </w:rPr>
        <w:br w:type="page"/>
      </w:r>
      <w:r>
        <w:rPr>
          <w:rFonts w:hint="eastAsia" w:ascii="宋体" w:hAnsi="宋体"/>
          <w:b/>
          <w:sz w:val="28"/>
        </w:rPr>
        <w:t xml:space="preserve">附件4             </w:t>
      </w:r>
    </w:p>
    <w:p w14:paraId="5BA28A21">
      <w:pPr>
        <w:spacing w:line="360" w:lineRule="atLeast"/>
        <w:ind w:left="480"/>
        <w:jc w:val="center"/>
        <w:rPr>
          <w:rFonts w:ascii="宋体" w:hAnsi="宋体"/>
          <w:b/>
          <w:sz w:val="24"/>
        </w:rPr>
      </w:pPr>
      <w:r>
        <w:rPr>
          <w:rFonts w:hint="eastAsia" w:ascii="宋体" w:hAnsi="宋体"/>
          <w:b/>
          <w:sz w:val="30"/>
          <w:lang w:val="en-US" w:eastAsia="zh-CN"/>
        </w:rPr>
        <w:t>首次</w:t>
      </w:r>
      <w:r>
        <w:rPr>
          <w:rFonts w:hint="eastAsia" w:ascii="宋体" w:hAnsi="宋体"/>
          <w:b/>
          <w:sz w:val="30"/>
        </w:rPr>
        <w:t>报价一览表</w:t>
      </w:r>
    </w:p>
    <w:p w14:paraId="73A70FCB">
      <w:pPr>
        <w:spacing w:line="360" w:lineRule="atLeast"/>
        <w:ind w:left="480"/>
        <w:rPr>
          <w:rFonts w:ascii="宋体" w:hAnsi="宋体"/>
          <w:b/>
          <w:sz w:val="30"/>
        </w:rPr>
      </w:pPr>
    </w:p>
    <w:p w14:paraId="6C8CB147">
      <w:pPr>
        <w:jc w:val="center"/>
        <w:rPr>
          <w:rFonts w:ascii="宋体" w:hAnsi="宋体"/>
        </w:rPr>
      </w:pPr>
    </w:p>
    <w:p w14:paraId="04071E36">
      <w:pPr>
        <w:spacing w:line="320" w:lineRule="exact"/>
        <w:rPr>
          <w:rFonts w:hint="default" w:ascii="宋体" w:hAnsi="宋体" w:eastAsia="宋体"/>
          <w:sz w:val="24"/>
          <w:u w:val="single"/>
          <w:lang w:val="en-US" w:eastAsia="zh-CN"/>
        </w:rPr>
      </w:pPr>
      <w:r>
        <w:rPr>
          <w:rFonts w:hint="eastAsia" w:ascii="宋体" w:hAnsi="宋体"/>
          <w:sz w:val="24"/>
        </w:rPr>
        <w:t xml:space="preserve">  项目编号：</w:t>
      </w:r>
      <w:r>
        <w:rPr>
          <w:rFonts w:hint="eastAsia" w:ascii="宋体" w:hAnsi="宋体" w:cs="宋体"/>
          <w:sz w:val="24"/>
          <w:lang w:val="en-US" w:eastAsia="zh-CN"/>
        </w:rPr>
        <w:t>TZSZYYZWZB001</w:t>
      </w:r>
    </w:p>
    <w:tbl>
      <w:tblPr>
        <w:tblStyle w:val="30"/>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800"/>
        <w:gridCol w:w="3685"/>
        <w:gridCol w:w="1354"/>
        <w:gridCol w:w="1567"/>
      </w:tblGrid>
      <w:tr w14:paraId="2C37E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41" w:type="dxa"/>
            <w:vAlign w:val="center"/>
          </w:tcPr>
          <w:p w14:paraId="7045DB7E">
            <w:pPr>
              <w:tabs>
                <w:tab w:val="left" w:pos="8280"/>
              </w:tabs>
              <w:autoSpaceDE w:val="0"/>
              <w:autoSpaceDN w:val="0"/>
              <w:adjustRightInd w:val="0"/>
              <w:spacing w:line="300" w:lineRule="exact"/>
              <w:jc w:val="center"/>
              <w:rPr>
                <w:rFonts w:ascii="宋体" w:hAnsi="宋体" w:cs="宋体"/>
                <w:szCs w:val="21"/>
              </w:rPr>
            </w:pPr>
            <w:r>
              <w:rPr>
                <w:rFonts w:hint="eastAsia" w:ascii="宋体" w:hAnsi="宋体" w:cs="宋体"/>
                <w:szCs w:val="21"/>
              </w:rPr>
              <w:t>序号</w:t>
            </w:r>
          </w:p>
        </w:tc>
        <w:tc>
          <w:tcPr>
            <w:tcW w:w="1800" w:type="dxa"/>
            <w:vAlign w:val="center"/>
          </w:tcPr>
          <w:p w14:paraId="6B823971">
            <w:pPr>
              <w:autoSpaceDE w:val="0"/>
              <w:autoSpaceDN w:val="0"/>
              <w:adjustRightInd w:val="0"/>
              <w:spacing w:line="240" w:lineRule="exact"/>
              <w:ind w:right="25"/>
              <w:jc w:val="center"/>
              <w:rPr>
                <w:rFonts w:ascii="宋体" w:hAnsi="宋体" w:cs="宋体"/>
                <w:szCs w:val="21"/>
              </w:rPr>
            </w:pPr>
            <w:r>
              <w:rPr>
                <w:rFonts w:ascii="宋体" w:hAnsi="宋体" w:cs="宋体"/>
                <w:szCs w:val="21"/>
              </w:rPr>
              <w:t>项目名称</w:t>
            </w:r>
          </w:p>
        </w:tc>
        <w:tc>
          <w:tcPr>
            <w:tcW w:w="3685" w:type="dxa"/>
            <w:vAlign w:val="center"/>
          </w:tcPr>
          <w:p w14:paraId="6AA23152">
            <w:pPr>
              <w:autoSpaceDE w:val="0"/>
              <w:autoSpaceDN w:val="0"/>
              <w:adjustRightInd w:val="0"/>
              <w:spacing w:line="240" w:lineRule="exact"/>
              <w:ind w:right="25"/>
              <w:jc w:val="center"/>
              <w:rPr>
                <w:rFonts w:ascii="宋体" w:hAnsi="宋体" w:cs="宋体"/>
                <w:szCs w:val="21"/>
              </w:rPr>
            </w:pPr>
            <w:r>
              <w:rPr>
                <w:rFonts w:ascii="宋体" w:hAnsi="宋体" w:cs="宋体"/>
                <w:szCs w:val="21"/>
              </w:rPr>
              <w:t>结算率（%）</w:t>
            </w:r>
          </w:p>
        </w:tc>
        <w:tc>
          <w:tcPr>
            <w:tcW w:w="1354" w:type="dxa"/>
            <w:vAlign w:val="center"/>
          </w:tcPr>
          <w:p w14:paraId="0E9F4A0C">
            <w:pPr>
              <w:jc w:val="center"/>
              <w:rPr>
                <w:rFonts w:ascii="宋体" w:hAnsi="宋体" w:cs="宋体"/>
                <w:b/>
                <w:szCs w:val="21"/>
              </w:rPr>
            </w:pPr>
            <w:r>
              <w:rPr>
                <w:rFonts w:hint="eastAsia" w:ascii="宋体" w:hAnsi="宋体" w:cs="宋体"/>
                <w:b/>
                <w:szCs w:val="21"/>
              </w:rPr>
              <w:t>最高限价（结算率）</w:t>
            </w:r>
          </w:p>
        </w:tc>
        <w:tc>
          <w:tcPr>
            <w:tcW w:w="1567" w:type="dxa"/>
            <w:vAlign w:val="center"/>
          </w:tcPr>
          <w:p w14:paraId="5EB2D9E2">
            <w:pPr>
              <w:autoSpaceDE w:val="0"/>
              <w:autoSpaceDN w:val="0"/>
              <w:adjustRightInd w:val="0"/>
              <w:spacing w:line="240" w:lineRule="exact"/>
              <w:ind w:right="25"/>
              <w:jc w:val="center"/>
              <w:rPr>
                <w:rFonts w:ascii="宋体" w:hAnsi="宋体" w:cs="宋体"/>
                <w:szCs w:val="21"/>
              </w:rPr>
            </w:pPr>
            <w:r>
              <w:rPr>
                <w:rFonts w:ascii="宋体" w:hAnsi="宋体" w:cs="宋体"/>
                <w:szCs w:val="21"/>
              </w:rPr>
              <w:t>服务期</w:t>
            </w:r>
          </w:p>
        </w:tc>
      </w:tr>
      <w:tr w14:paraId="050D2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841" w:type="dxa"/>
            <w:vAlign w:val="center"/>
          </w:tcPr>
          <w:p w14:paraId="3F65C7DB">
            <w:pPr>
              <w:tabs>
                <w:tab w:val="left" w:pos="8280"/>
              </w:tabs>
              <w:autoSpaceDE w:val="0"/>
              <w:autoSpaceDN w:val="0"/>
              <w:adjustRightInd w:val="0"/>
              <w:spacing w:line="300" w:lineRule="exact"/>
              <w:jc w:val="center"/>
              <w:rPr>
                <w:rFonts w:ascii="宋体" w:hAnsi="宋体" w:cs="宋体"/>
                <w:szCs w:val="21"/>
              </w:rPr>
            </w:pPr>
            <w:r>
              <w:rPr>
                <w:rFonts w:hint="eastAsia" w:ascii="宋体" w:hAnsi="宋体" w:cs="宋体"/>
                <w:szCs w:val="21"/>
              </w:rPr>
              <w:t>1</w:t>
            </w:r>
          </w:p>
        </w:tc>
        <w:tc>
          <w:tcPr>
            <w:tcW w:w="1800" w:type="dxa"/>
            <w:vAlign w:val="center"/>
          </w:tcPr>
          <w:p w14:paraId="6A5291D0">
            <w:pPr>
              <w:tabs>
                <w:tab w:val="left" w:pos="8280"/>
              </w:tabs>
              <w:autoSpaceDE w:val="0"/>
              <w:autoSpaceDN w:val="0"/>
              <w:adjustRightInd w:val="0"/>
              <w:spacing w:line="300" w:lineRule="exact"/>
              <w:jc w:val="center"/>
              <w:rPr>
                <w:rFonts w:ascii="宋体" w:hAnsi="宋体" w:cs="宋体"/>
                <w:szCs w:val="21"/>
              </w:rPr>
            </w:pPr>
            <w:r>
              <w:rPr>
                <w:rFonts w:hint="eastAsia" w:ascii="宋体" w:hAnsi="宋体" w:cs="宋体"/>
                <w:szCs w:val="21"/>
              </w:rPr>
              <w:t>台州市中医院年度广告制作服务项目</w:t>
            </w:r>
          </w:p>
        </w:tc>
        <w:tc>
          <w:tcPr>
            <w:tcW w:w="3685" w:type="dxa"/>
            <w:vAlign w:val="center"/>
          </w:tcPr>
          <w:p w14:paraId="150FF134">
            <w:pPr>
              <w:tabs>
                <w:tab w:val="left" w:pos="8280"/>
              </w:tabs>
              <w:autoSpaceDE w:val="0"/>
              <w:autoSpaceDN w:val="0"/>
              <w:adjustRightInd w:val="0"/>
              <w:spacing w:line="300" w:lineRule="exact"/>
              <w:jc w:val="center"/>
              <w:rPr>
                <w:rFonts w:ascii="宋体" w:hAnsi="宋体" w:cs="宋体"/>
                <w:sz w:val="30"/>
                <w:szCs w:val="30"/>
                <w:u w:val="single"/>
              </w:rPr>
            </w:pPr>
          </w:p>
          <w:p w14:paraId="0701A4DD">
            <w:pPr>
              <w:tabs>
                <w:tab w:val="left" w:pos="8280"/>
              </w:tabs>
              <w:autoSpaceDE w:val="0"/>
              <w:autoSpaceDN w:val="0"/>
              <w:adjustRightInd w:val="0"/>
              <w:spacing w:line="300" w:lineRule="exact"/>
              <w:jc w:val="center"/>
              <w:rPr>
                <w:rFonts w:ascii="宋体" w:hAnsi="宋体" w:cs="宋体"/>
                <w:sz w:val="30"/>
                <w:szCs w:val="30"/>
              </w:rPr>
            </w:pPr>
            <w:r>
              <w:rPr>
                <w:rFonts w:hint="eastAsia" w:ascii="宋体" w:hAnsi="宋体" w:cs="宋体"/>
                <w:sz w:val="30"/>
                <w:szCs w:val="30"/>
                <w:u w:val="single"/>
              </w:rPr>
              <w:t xml:space="preserve">         </w:t>
            </w:r>
            <w:r>
              <w:rPr>
                <w:rFonts w:hint="eastAsia" w:ascii="宋体" w:hAnsi="宋体" w:cs="宋体"/>
                <w:sz w:val="30"/>
                <w:szCs w:val="30"/>
              </w:rPr>
              <w:t>%</w:t>
            </w:r>
          </w:p>
          <w:p w14:paraId="7BEB6ADA">
            <w:pPr>
              <w:tabs>
                <w:tab w:val="left" w:pos="8280"/>
              </w:tabs>
              <w:autoSpaceDE w:val="0"/>
              <w:autoSpaceDN w:val="0"/>
              <w:adjustRightInd w:val="0"/>
              <w:spacing w:line="300" w:lineRule="exact"/>
              <w:rPr>
                <w:rFonts w:ascii="宋体" w:hAnsi="宋体" w:cs="宋体"/>
                <w:szCs w:val="21"/>
              </w:rPr>
            </w:pPr>
          </w:p>
          <w:p w14:paraId="5925CCF0">
            <w:pPr>
              <w:tabs>
                <w:tab w:val="left" w:pos="8280"/>
              </w:tabs>
              <w:autoSpaceDE w:val="0"/>
              <w:autoSpaceDN w:val="0"/>
              <w:adjustRightInd w:val="0"/>
              <w:spacing w:line="300" w:lineRule="exact"/>
              <w:jc w:val="center"/>
              <w:rPr>
                <w:rFonts w:ascii="宋体" w:hAnsi="宋体" w:cs="宋体"/>
                <w:szCs w:val="21"/>
              </w:rPr>
            </w:pPr>
            <w:r>
              <w:rPr>
                <w:rFonts w:hint="eastAsia" w:ascii="宋体" w:hAnsi="宋体" w:cs="宋体"/>
                <w:szCs w:val="21"/>
              </w:rPr>
              <w:t>（百分号前小数点后保留二位小数，第三位四舍五入，</w:t>
            </w:r>
            <w:r>
              <w:rPr>
                <w:rFonts w:hint="eastAsia" w:ascii="宋体" w:hAnsi="宋体" w:cs="宋体"/>
                <w:b/>
                <w:szCs w:val="21"/>
              </w:rPr>
              <w:t>格式示例：88.88%</w:t>
            </w:r>
            <w:r>
              <w:rPr>
                <w:rFonts w:hint="eastAsia" w:ascii="宋体" w:hAnsi="宋体" w:cs="宋体"/>
                <w:szCs w:val="21"/>
              </w:rPr>
              <w:t>）</w:t>
            </w:r>
          </w:p>
        </w:tc>
        <w:tc>
          <w:tcPr>
            <w:tcW w:w="1354" w:type="dxa"/>
            <w:vAlign w:val="center"/>
          </w:tcPr>
          <w:p w14:paraId="06378BE3">
            <w:pPr>
              <w:tabs>
                <w:tab w:val="left" w:pos="8280"/>
              </w:tabs>
              <w:autoSpaceDE w:val="0"/>
              <w:autoSpaceDN w:val="0"/>
              <w:adjustRightInd w:val="0"/>
              <w:jc w:val="center"/>
              <w:rPr>
                <w:rFonts w:ascii="宋体" w:hAnsi="宋体" w:cs="宋体"/>
                <w:b/>
                <w:szCs w:val="21"/>
              </w:rPr>
            </w:pPr>
            <w:r>
              <w:rPr>
                <w:rFonts w:hint="eastAsia" w:ascii="宋体" w:hAnsi="宋体" w:cs="宋体"/>
                <w:b/>
                <w:szCs w:val="21"/>
              </w:rPr>
              <w:t>100%</w:t>
            </w:r>
          </w:p>
        </w:tc>
        <w:tc>
          <w:tcPr>
            <w:tcW w:w="1567" w:type="dxa"/>
            <w:vAlign w:val="center"/>
          </w:tcPr>
          <w:p w14:paraId="14FD1223">
            <w:pPr>
              <w:tabs>
                <w:tab w:val="left" w:pos="8280"/>
              </w:tabs>
              <w:autoSpaceDE w:val="0"/>
              <w:autoSpaceDN w:val="0"/>
              <w:adjustRightInd w:val="0"/>
              <w:spacing w:line="300" w:lineRule="exact"/>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年</w:t>
            </w:r>
          </w:p>
        </w:tc>
      </w:tr>
      <w:tr w14:paraId="5184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9247" w:type="dxa"/>
            <w:gridSpan w:val="5"/>
            <w:vAlign w:val="center"/>
          </w:tcPr>
          <w:p w14:paraId="26CA136D">
            <w:pPr>
              <w:tabs>
                <w:tab w:val="left" w:pos="8280"/>
              </w:tabs>
              <w:autoSpaceDE w:val="0"/>
              <w:autoSpaceDN w:val="0"/>
              <w:adjustRightInd w:val="0"/>
              <w:spacing w:line="300" w:lineRule="exact"/>
              <w:jc w:val="left"/>
              <w:rPr>
                <w:rFonts w:ascii="宋体" w:hAnsi="宋体" w:cs="宋体"/>
                <w:b/>
                <w:szCs w:val="21"/>
              </w:rPr>
            </w:pPr>
            <w:r>
              <w:rPr>
                <w:rFonts w:hint="eastAsia" w:ascii="宋体" w:hAnsi="宋体" w:cs="宋体"/>
                <w:b/>
                <w:szCs w:val="21"/>
              </w:rPr>
              <w:t>注：供应商按结算率报价，结算价=∑（清单综合单价×审定供货数量×成交结算率）。</w:t>
            </w:r>
          </w:p>
        </w:tc>
      </w:tr>
    </w:tbl>
    <w:p w14:paraId="36550F94">
      <w:pPr>
        <w:spacing w:line="320" w:lineRule="exact"/>
        <w:rPr>
          <w:rFonts w:ascii="宋体" w:hAnsi="宋体"/>
          <w:sz w:val="24"/>
        </w:rPr>
      </w:pPr>
    </w:p>
    <w:p w14:paraId="374A6E34">
      <w:pPr>
        <w:spacing w:line="320" w:lineRule="exact"/>
        <w:ind w:left="420"/>
        <w:rPr>
          <w:rFonts w:ascii="宋体" w:hAnsi="宋体"/>
          <w:sz w:val="24"/>
        </w:rPr>
      </w:pPr>
    </w:p>
    <w:p w14:paraId="0EE3775A">
      <w:pPr>
        <w:spacing w:line="360" w:lineRule="auto"/>
        <w:ind w:left="420"/>
        <w:rPr>
          <w:rFonts w:ascii="宋体" w:hAnsi="宋体"/>
          <w:sz w:val="24"/>
          <w:u w:val="single"/>
        </w:rPr>
      </w:pPr>
      <w:r>
        <w:rPr>
          <w:rFonts w:hint="eastAsia" w:ascii="宋体" w:hAnsi="宋体"/>
          <w:sz w:val="24"/>
        </w:rPr>
        <w:t>磋商供应商名称（盖章）：</w:t>
      </w:r>
    </w:p>
    <w:p w14:paraId="3047EE89">
      <w:pPr>
        <w:spacing w:line="360" w:lineRule="auto"/>
        <w:ind w:firstLine="435"/>
        <w:rPr>
          <w:rFonts w:ascii="宋体" w:hAnsi="宋体"/>
          <w:sz w:val="24"/>
        </w:rPr>
      </w:pPr>
      <w:r>
        <w:rPr>
          <w:rFonts w:hint="eastAsia" w:ascii="宋体" w:hAnsi="宋体"/>
          <w:sz w:val="24"/>
        </w:rPr>
        <w:t>磋商供应商法定代表人或授权代表（签字或盖章）：</w:t>
      </w:r>
    </w:p>
    <w:p w14:paraId="4B975281">
      <w:pPr>
        <w:spacing w:line="320" w:lineRule="exact"/>
        <w:ind w:firstLine="435"/>
        <w:rPr>
          <w:rFonts w:ascii="宋体" w:hAnsi="宋体"/>
          <w:sz w:val="24"/>
        </w:rPr>
      </w:pPr>
      <w:r>
        <w:rPr>
          <w:rFonts w:hint="eastAsia" w:ascii="宋体" w:hAnsi="宋体"/>
          <w:sz w:val="24"/>
        </w:rPr>
        <w:t>日        期：</w:t>
      </w:r>
    </w:p>
    <w:p w14:paraId="1410B368">
      <w:pPr>
        <w:spacing w:line="320" w:lineRule="exact"/>
        <w:ind w:firstLine="435"/>
        <w:rPr>
          <w:rFonts w:ascii="宋体" w:hAnsi="宋体"/>
          <w:sz w:val="24"/>
        </w:rPr>
      </w:pPr>
    </w:p>
    <w:p w14:paraId="6BF26202">
      <w:pPr>
        <w:spacing w:line="320" w:lineRule="exact"/>
        <w:ind w:firstLine="435"/>
        <w:rPr>
          <w:rFonts w:ascii="宋体" w:hAnsi="宋体"/>
          <w:sz w:val="24"/>
        </w:rPr>
      </w:pPr>
    </w:p>
    <w:p w14:paraId="7C85B1DC">
      <w:pPr>
        <w:spacing w:line="360" w:lineRule="auto"/>
        <w:rPr>
          <w:rFonts w:ascii="宋体" w:hAnsi="宋体"/>
          <w:b/>
          <w:szCs w:val="21"/>
        </w:rPr>
      </w:pPr>
      <w:r>
        <w:rPr>
          <w:rFonts w:hint="eastAsia" w:ascii="宋体" w:hAnsi="宋体"/>
          <w:b/>
          <w:szCs w:val="21"/>
        </w:rPr>
        <w:t>说明：</w:t>
      </w:r>
    </w:p>
    <w:p w14:paraId="43973DE1">
      <w:pPr>
        <w:spacing w:line="360" w:lineRule="auto"/>
        <w:ind w:firstLine="315" w:firstLineChars="150"/>
        <w:rPr>
          <w:rFonts w:ascii="宋体" w:hAnsi="宋体"/>
          <w:szCs w:val="21"/>
        </w:rPr>
      </w:pPr>
      <w:r>
        <w:rPr>
          <w:rFonts w:hint="eastAsia" w:ascii="宋体" w:hAnsi="宋体"/>
          <w:szCs w:val="21"/>
        </w:rPr>
        <w:t>1.报价包括本项目采购需求和投入使用的所有费用，结算率超过100%的作响应无效处理。</w:t>
      </w:r>
    </w:p>
    <w:p w14:paraId="0AE4608C">
      <w:pPr>
        <w:spacing w:line="360" w:lineRule="auto"/>
        <w:ind w:firstLine="315" w:firstLineChars="150"/>
        <w:rPr>
          <w:rFonts w:ascii="宋体" w:hAnsi="宋体"/>
          <w:szCs w:val="21"/>
        </w:rPr>
      </w:pPr>
      <w:r>
        <w:rPr>
          <w:rFonts w:hint="eastAsia" w:ascii="宋体" w:hAnsi="宋体"/>
          <w:szCs w:val="21"/>
        </w:rPr>
        <w:t>2. 报价一经涂改，应在涂改处加盖单位公章，或者由法定代表人或授权代理人签字或盖章，否则作响应无效处理。</w:t>
      </w:r>
    </w:p>
    <w:p w14:paraId="52E7AC5B">
      <w:pPr>
        <w:spacing w:line="360" w:lineRule="auto"/>
        <w:ind w:firstLine="315" w:firstLineChars="150"/>
        <w:rPr>
          <w:rFonts w:ascii="宋体" w:hAnsi="宋体"/>
          <w:sz w:val="30"/>
          <w:szCs w:val="30"/>
        </w:rPr>
      </w:pPr>
      <w:r>
        <w:rPr>
          <w:rFonts w:hint="eastAsia" w:ascii="宋体" w:hAnsi="宋体"/>
          <w:szCs w:val="21"/>
        </w:rPr>
        <w:t>3.本项目整体及单价均按此结算率执行。</w:t>
      </w:r>
      <w:r>
        <w:rPr>
          <w:rFonts w:ascii="宋体" w:hAnsi="宋体"/>
          <w:b/>
          <w:sz w:val="28"/>
        </w:rPr>
        <w:br w:type="page"/>
      </w:r>
    </w:p>
    <w:p w14:paraId="73C5008A">
      <w:pPr>
        <w:spacing w:line="360" w:lineRule="atLeast"/>
        <w:rPr>
          <w:rFonts w:ascii="宋体" w:hAnsi="宋体"/>
          <w:b/>
          <w:sz w:val="28"/>
        </w:rPr>
      </w:pPr>
      <w:r>
        <w:rPr>
          <w:rFonts w:hint="eastAsia" w:ascii="宋体" w:hAnsi="宋体"/>
          <w:b/>
          <w:sz w:val="28"/>
        </w:rPr>
        <w:t>附件5</w:t>
      </w:r>
    </w:p>
    <w:p w14:paraId="47916DF8">
      <w:pPr>
        <w:snapToGrid w:val="0"/>
        <w:spacing w:before="50" w:after="50"/>
        <w:jc w:val="center"/>
        <w:rPr>
          <w:rFonts w:ascii="宋体" w:hAnsi="宋体"/>
          <w:b/>
          <w:sz w:val="36"/>
          <w:szCs w:val="36"/>
        </w:rPr>
      </w:pPr>
      <w:r>
        <w:rPr>
          <w:rFonts w:hint="eastAsia" w:ascii="宋体" w:hAnsi="宋体"/>
          <w:b/>
          <w:sz w:val="36"/>
          <w:szCs w:val="36"/>
        </w:rPr>
        <w:t>声 明 书</w:t>
      </w:r>
    </w:p>
    <w:p w14:paraId="7695F7DC">
      <w:pPr>
        <w:snapToGrid w:val="0"/>
        <w:spacing w:before="156" w:beforeLines="50" w:after="50" w:line="500" w:lineRule="exact"/>
        <w:jc w:val="center"/>
        <w:rPr>
          <w:rFonts w:ascii="宋体" w:hAnsi="宋体"/>
          <w:b/>
          <w:sz w:val="36"/>
          <w:szCs w:val="36"/>
        </w:rPr>
      </w:pPr>
    </w:p>
    <w:p w14:paraId="3ED1FB6A">
      <w:pPr>
        <w:snapToGrid w:val="0"/>
        <w:spacing w:before="156" w:beforeLines="50" w:after="50" w:line="460" w:lineRule="exact"/>
        <w:rPr>
          <w:rFonts w:ascii="宋体" w:hAnsi="宋体"/>
          <w:sz w:val="24"/>
        </w:rPr>
      </w:pPr>
      <w:r>
        <w:rPr>
          <w:rFonts w:hint="eastAsia" w:ascii="宋体" w:hAnsi="宋体"/>
          <w:sz w:val="24"/>
        </w:rPr>
        <w:t>致：</w:t>
      </w:r>
      <w:r>
        <w:rPr>
          <w:rFonts w:hint="eastAsia" w:ascii="宋体" w:hAnsi="宋体"/>
          <w:sz w:val="24"/>
          <w:u w:val="single"/>
        </w:rPr>
        <w:t>台州市中医院（采购人）</w:t>
      </w:r>
      <w:r>
        <w:rPr>
          <w:rFonts w:hint="eastAsia" w:ascii="宋体" w:hAnsi="宋体"/>
          <w:sz w:val="24"/>
        </w:rPr>
        <w:t>：</w:t>
      </w:r>
    </w:p>
    <w:p w14:paraId="75D05C89">
      <w:pPr>
        <w:snapToGrid w:val="0"/>
        <w:spacing w:before="156" w:beforeLines="50" w:after="50" w:line="460" w:lineRule="exact"/>
        <w:ind w:firstLine="480" w:firstLineChars="200"/>
        <w:rPr>
          <w:rFonts w:ascii="宋体" w:hAnsi="宋体"/>
          <w:sz w:val="24"/>
        </w:rPr>
      </w:pPr>
      <w:r>
        <w:rPr>
          <w:rFonts w:hint="eastAsia" w:ascii="宋体" w:hAnsi="宋体"/>
          <w:sz w:val="24"/>
          <w:u w:val="single"/>
        </w:rPr>
        <w:t>（磋商供应商名称）</w:t>
      </w:r>
      <w:r>
        <w:rPr>
          <w:rFonts w:hint="eastAsia" w:ascii="宋体" w:hAnsi="宋体"/>
          <w:sz w:val="24"/>
        </w:rPr>
        <w:t>系中华人民共和国合法企业，经营地址。</w:t>
      </w:r>
    </w:p>
    <w:p w14:paraId="23891CEB">
      <w:pPr>
        <w:snapToGrid w:val="0"/>
        <w:spacing w:before="156" w:beforeLines="50" w:after="50" w:line="460" w:lineRule="exact"/>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（磋商供应商名称）</w:t>
      </w:r>
      <w:r>
        <w:rPr>
          <w:rFonts w:hint="eastAsia" w:ascii="宋体" w:hAnsi="宋体"/>
          <w:sz w:val="24"/>
        </w:rPr>
        <w:t>的法定代表人，我方愿意参加贵方组织的</w:t>
      </w:r>
      <w:r>
        <w:rPr>
          <w:rFonts w:hint="eastAsia" w:ascii="宋体" w:hAnsi="宋体"/>
          <w:sz w:val="24"/>
          <w:u w:val="single"/>
        </w:rPr>
        <w:t>台州市中医院年度广告制作服务项目（项目编号为</w:t>
      </w:r>
      <w:r>
        <w:rPr>
          <w:rFonts w:hint="eastAsia" w:ascii="宋体" w:hAnsi="宋体"/>
          <w:sz w:val="24"/>
          <w:u w:val="single"/>
          <w:lang w:val="en-US" w:eastAsia="zh-CN"/>
        </w:rPr>
        <w:t xml:space="preserve"> </w:t>
      </w:r>
      <w:r>
        <w:rPr>
          <w:rFonts w:hint="eastAsia" w:ascii="宋体" w:hAnsi="宋体" w:cs="宋体"/>
          <w:sz w:val="24"/>
          <w:lang w:val="en-US" w:eastAsia="zh-CN"/>
        </w:rPr>
        <w:t>TZSZYYZWZB001</w:t>
      </w:r>
      <w:r>
        <w:rPr>
          <w:rFonts w:hint="eastAsia" w:ascii="宋体" w:hAnsi="宋体"/>
          <w:sz w:val="24"/>
          <w:u w:val="single"/>
        </w:rPr>
        <w:t>）</w:t>
      </w:r>
      <w:r>
        <w:rPr>
          <w:rFonts w:hint="eastAsia" w:ascii="宋体" w:hAnsi="宋体"/>
          <w:sz w:val="24"/>
        </w:rPr>
        <w:t>的磋商，为此，我方就本次采购有关事项郑重声明如下：</w:t>
      </w:r>
    </w:p>
    <w:p w14:paraId="35CE827D">
      <w:pPr>
        <w:snapToGrid w:val="0"/>
        <w:spacing w:before="156" w:beforeLines="50" w:after="50" w:line="360" w:lineRule="auto"/>
        <w:ind w:firstLine="480" w:firstLineChars="200"/>
        <w:rPr>
          <w:rFonts w:ascii="宋体" w:hAnsi="宋体"/>
          <w:sz w:val="24"/>
        </w:rPr>
      </w:pPr>
      <w:r>
        <w:rPr>
          <w:rFonts w:hint="eastAsia" w:ascii="宋体" w:hAnsi="宋体"/>
          <w:sz w:val="24"/>
        </w:rPr>
        <w:t>1.我方已详细审查全部采购文件，同意采购文件的各项要求。</w:t>
      </w:r>
    </w:p>
    <w:p w14:paraId="2637EC48">
      <w:pPr>
        <w:snapToGrid w:val="0"/>
        <w:spacing w:before="156" w:beforeLines="50" w:after="50" w:line="360" w:lineRule="auto"/>
        <w:ind w:firstLine="480" w:firstLineChars="200"/>
        <w:rPr>
          <w:rFonts w:ascii="宋体" w:hAnsi="宋体"/>
          <w:sz w:val="24"/>
        </w:rPr>
      </w:pPr>
      <w:r>
        <w:rPr>
          <w:rFonts w:hint="eastAsia" w:ascii="宋体" w:hAnsi="宋体"/>
          <w:sz w:val="24"/>
        </w:rPr>
        <w:t>2.我方向贵方提交的所有响应文件、资料都是准确的和真实的。</w:t>
      </w:r>
    </w:p>
    <w:p w14:paraId="71FF7ED6">
      <w:pPr>
        <w:pStyle w:val="24"/>
        <w:spacing w:after="150" w:line="360" w:lineRule="auto"/>
        <w:ind w:firstLine="480" w:firstLineChars="200"/>
        <w:rPr>
          <w:rFonts w:cs="Times New Roman"/>
          <w:kern w:val="2"/>
        </w:rPr>
      </w:pPr>
      <w:r>
        <w:rPr>
          <w:rFonts w:hint="eastAsia" w:cs="Times New Roman"/>
          <w:kern w:val="2"/>
        </w:rPr>
        <w:t>3.我方</w:t>
      </w:r>
      <w:r>
        <w:rPr>
          <w:rFonts w:cs="Times New Roman"/>
          <w:kern w:val="2"/>
        </w:rPr>
        <w:t>在过去三年内，参加</w:t>
      </w:r>
      <w:r>
        <w:rPr>
          <w:rFonts w:hint="eastAsia" w:cs="Times New Roman"/>
          <w:kern w:val="2"/>
        </w:rPr>
        <w:t>政府采购</w:t>
      </w:r>
      <w:r>
        <w:rPr>
          <w:rFonts w:cs="Times New Roman"/>
          <w:kern w:val="2"/>
        </w:rPr>
        <w:t>活动，</w:t>
      </w:r>
      <w:r>
        <w:rPr>
          <w:rFonts w:hint="eastAsia" w:cs="Times New Roman"/>
          <w:kern w:val="2"/>
        </w:rPr>
        <w:t>无</w:t>
      </w:r>
      <w:r>
        <w:rPr>
          <w:rFonts w:cs="Times New Roman"/>
          <w:kern w:val="2"/>
        </w:rPr>
        <w:t>任何</w:t>
      </w:r>
      <w:r>
        <w:rPr>
          <w:rFonts w:hint="eastAsia" w:cs="Times New Roman"/>
          <w:kern w:val="2"/>
        </w:rPr>
        <w:t>违法、</w:t>
      </w:r>
      <w:r>
        <w:rPr>
          <w:rFonts w:cs="Times New Roman"/>
          <w:kern w:val="2"/>
        </w:rPr>
        <w:t>违</w:t>
      </w:r>
      <w:r>
        <w:rPr>
          <w:rFonts w:hint="eastAsia" w:cs="Times New Roman"/>
          <w:kern w:val="2"/>
        </w:rPr>
        <w:t>规</w:t>
      </w:r>
      <w:r>
        <w:rPr>
          <w:rFonts w:cs="Times New Roman"/>
          <w:kern w:val="2"/>
        </w:rPr>
        <w:t>记录。</w:t>
      </w:r>
    </w:p>
    <w:p w14:paraId="631BDB11">
      <w:pPr>
        <w:snapToGrid w:val="0"/>
        <w:spacing w:before="156" w:beforeLines="50" w:after="50" w:line="360" w:lineRule="auto"/>
        <w:ind w:firstLine="480" w:firstLineChars="200"/>
        <w:rPr>
          <w:rFonts w:ascii="宋体" w:hAnsi="宋体"/>
          <w:sz w:val="24"/>
        </w:rPr>
      </w:pPr>
      <w:r>
        <w:rPr>
          <w:rFonts w:hint="eastAsia" w:ascii="宋体" w:hAnsi="宋体"/>
          <w:sz w:val="24"/>
        </w:rPr>
        <w:t>4.若成交，我方将按采购文件规定履行合同责任和义务。</w:t>
      </w:r>
    </w:p>
    <w:p w14:paraId="77AE7756">
      <w:pPr>
        <w:snapToGrid w:val="0"/>
        <w:spacing w:before="156" w:beforeLines="50" w:after="50" w:line="360" w:lineRule="auto"/>
        <w:ind w:firstLine="480" w:firstLineChars="200"/>
        <w:rPr>
          <w:rFonts w:ascii="宋体" w:hAnsi="宋体"/>
          <w:sz w:val="24"/>
        </w:rPr>
      </w:pPr>
      <w:r>
        <w:rPr>
          <w:rFonts w:hint="eastAsia" w:ascii="宋体" w:hAnsi="宋体"/>
          <w:sz w:val="24"/>
        </w:rPr>
        <w:t>5.我方不是采购人的附属机构；在获知本项目采购信息后，与采购人聘请的为此项目提供咨询服务的公司及其附属机构没有任何联系。</w:t>
      </w:r>
    </w:p>
    <w:p w14:paraId="3FF452C9">
      <w:pPr>
        <w:snapToGrid w:val="0"/>
        <w:spacing w:before="156" w:beforeLines="50" w:after="50" w:line="360" w:lineRule="auto"/>
        <w:ind w:firstLine="480" w:firstLineChars="200"/>
        <w:rPr>
          <w:rFonts w:ascii="宋体" w:hAnsi="宋体"/>
          <w:sz w:val="24"/>
        </w:rPr>
      </w:pPr>
      <w:r>
        <w:rPr>
          <w:rFonts w:hint="eastAsia" w:ascii="宋体" w:hAnsi="宋体"/>
          <w:sz w:val="24"/>
        </w:rPr>
        <w:t>6.响应文件自磋商截止日起有效期为60天。</w:t>
      </w:r>
    </w:p>
    <w:p w14:paraId="543A8A52">
      <w:pPr>
        <w:snapToGrid w:val="0"/>
        <w:spacing w:before="156" w:beforeLines="50" w:after="50" w:line="360" w:lineRule="auto"/>
        <w:ind w:firstLine="480" w:firstLineChars="200"/>
        <w:rPr>
          <w:rFonts w:ascii="宋体" w:hAnsi="宋体"/>
          <w:sz w:val="24"/>
        </w:rPr>
      </w:pPr>
      <w:r>
        <w:rPr>
          <w:rFonts w:hint="eastAsia" w:ascii="宋体" w:hAnsi="宋体"/>
          <w:sz w:val="24"/>
        </w:rPr>
        <w:t>7.以上事项如有虚假或隐瞒，我方愿意承担一切后果，并不再寻求任何旨在减轻或免除法律责任的辩解。</w:t>
      </w:r>
    </w:p>
    <w:p w14:paraId="6D4610BE">
      <w:pPr>
        <w:snapToGrid w:val="0"/>
        <w:spacing w:before="156" w:beforeLines="50" w:after="50" w:line="460" w:lineRule="exact"/>
        <w:ind w:right="600"/>
        <w:rPr>
          <w:rFonts w:ascii="宋体" w:hAnsi="宋体"/>
          <w:sz w:val="24"/>
        </w:rPr>
      </w:pPr>
    </w:p>
    <w:p w14:paraId="407C0C4B">
      <w:pPr>
        <w:snapToGrid w:val="0"/>
        <w:spacing w:before="156" w:beforeLines="50" w:after="50" w:line="460" w:lineRule="exact"/>
        <w:ind w:right="600"/>
        <w:rPr>
          <w:rFonts w:ascii="宋体" w:hAnsi="宋体"/>
          <w:sz w:val="24"/>
        </w:rPr>
      </w:pPr>
    </w:p>
    <w:p w14:paraId="6F72F559">
      <w:pPr>
        <w:snapToGrid w:val="0"/>
        <w:spacing w:before="156" w:beforeLines="50" w:after="50" w:line="460" w:lineRule="exact"/>
        <w:ind w:right="600"/>
        <w:rPr>
          <w:rFonts w:ascii="宋体" w:hAnsi="宋体"/>
          <w:sz w:val="24"/>
        </w:rPr>
      </w:pPr>
    </w:p>
    <w:p w14:paraId="64AD90D9">
      <w:pPr>
        <w:snapToGrid w:val="0"/>
        <w:spacing w:before="156" w:beforeLines="50" w:after="50" w:line="460" w:lineRule="exact"/>
        <w:ind w:right="600"/>
        <w:rPr>
          <w:rFonts w:ascii="宋体" w:hAnsi="宋体"/>
          <w:sz w:val="24"/>
          <w:u w:val="single"/>
        </w:rPr>
      </w:pPr>
      <w:r>
        <w:rPr>
          <w:rFonts w:hint="eastAsia" w:ascii="宋体" w:hAnsi="宋体"/>
          <w:sz w:val="24"/>
        </w:rPr>
        <w:t>法定代表人签名或盖章：          日 期：</w:t>
      </w:r>
    </w:p>
    <w:p w14:paraId="686F4A62">
      <w:pPr>
        <w:snapToGrid w:val="0"/>
        <w:spacing w:before="156" w:beforeLines="50" w:after="50" w:line="460" w:lineRule="exact"/>
        <w:rPr>
          <w:rFonts w:ascii="宋体" w:hAnsi="宋体"/>
          <w:sz w:val="24"/>
        </w:rPr>
      </w:pPr>
      <w:r>
        <w:rPr>
          <w:rFonts w:hint="eastAsia" w:ascii="宋体" w:hAnsi="宋体"/>
          <w:sz w:val="24"/>
        </w:rPr>
        <w:t>供应商全称（公章）：</w:t>
      </w:r>
    </w:p>
    <w:p w14:paraId="67A18D7B">
      <w:pPr>
        <w:spacing w:line="360" w:lineRule="exact"/>
        <w:ind w:left="420"/>
        <w:rPr>
          <w:rFonts w:ascii="宋体" w:hAnsi="宋体"/>
          <w:b/>
          <w:sz w:val="28"/>
        </w:rPr>
      </w:pPr>
    </w:p>
    <w:p w14:paraId="1E88CADB">
      <w:pPr>
        <w:spacing w:line="360" w:lineRule="exact"/>
        <w:ind w:left="420"/>
        <w:rPr>
          <w:rFonts w:ascii="宋体" w:hAnsi="宋体"/>
          <w:b/>
          <w:sz w:val="28"/>
        </w:rPr>
      </w:pPr>
    </w:p>
    <w:p w14:paraId="7B7390BF">
      <w:pPr>
        <w:spacing w:line="360" w:lineRule="exact"/>
        <w:ind w:left="420"/>
        <w:rPr>
          <w:rFonts w:ascii="宋体" w:hAnsi="宋体"/>
          <w:b/>
          <w:sz w:val="28"/>
        </w:rPr>
      </w:pPr>
    </w:p>
    <w:p w14:paraId="6C58E62A">
      <w:pPr>
        <w:spacing w:line="360" w:lineRule="atLeast"/>
        <w:rPr>
          <w:rFonts w:ascii="宋体" w:hAnsi="宋体"/>
          <w:b/>
          <w:sz w:val="28"/>
        </w:rPr>
      </w:pPr>
      <w:r>
        <w:rPr>
          <w:rFonts w:hint="eastAsia" w:ascii="宋体" w:hAnsi="宋体"/>
          <w:b/>
          <w:sz w:val="28"/>
        </w:rPr>
        <w:t>附件6</w:t>
      </w:r>
    </w:p>
    <w:p w14:paraId="75DFF129">
      <w:pPr>
        <w:spacing w:line="500" w:lineRule="exact"/>
        <w:jc w:val="center"/>
        <w:rPr>
          <w:rFonts w:ascii="宋体" w:hAnsi="宋体"/>
          <w:b/>
          <w:sz w:val="36"/>
        </w:rPr>
      </w:pPr>
      <w:r>
        <w:rPr>
          <w:rFonts w:hint="eastAsia" w:ascii="宋体" w:hAnsi="宋体"/>
          <w:b/>
          <w:sz w:val="36"/>
        </w:rPr>
        <w:t>法定代表人授权书</w:t>
      </w:r>
    </w:p>
    <w:p w14:paraId="354B9C41">
      <w:pPr>
        <w:spacing w:line="360" w:lineRule="auto"/>
        <w:rPr>
          <w:rFonts w:ascii="宋体" w:hAnsi="宋体"/>
          <w:sz w:val="24"/>
        </w:rPr>
      </w:pPr>
    </w:p>
    <w:p w14:paraId="69FEAA67">
      <w:pPr>
        <w:spacing w:line="360" w:lineRule="auto"/>
        <w:rPr>
          <w:rFonts w:ascii="宋体" w:hAnsi="宋体"/>
          <w:sz w:val="24"/>
          <w:u w:val="single"/>
        </w:rPr>
      </w:pPr>
    </w:p>
    <w:p w14:paraId="583D8F07">
      <w:pPr>
        <w:spacing w:line="360" w:lineRule="auto"/>
        <w:rPr>
          <w:rFonts w:ascii="宋体" w:hAnsi="宋体"/>
          <w:sz w:val="24"/>
        </w:rPr>
      </w:pPr>
      <w:r>
        <w:rPr>
          <w:rFonts w:hint="eastAsia" w:ascii="宋体" w:hAnsi="宋体"/>
          <w:sz w:val="24"/>
          <w:u w:val="single"/>
        </w:rPr>
        <w:t>台州市中医院（采购人）</w:t>
      </w:r>
      <w:r>
        <w:rPr>
          <w:rFonts w:hint="eastAsia" w:ascii="宋体" w:hAnsi="宋体"/>
          <w:sz w:val="24"/>
        </w:rPr>
        <w:t>：</w:t>
      </w:r>
    </w:p>
    <w:p w14:paraId="055F0D78">
      <w:pPr>
        <w:spacing w:line="360" w:lineRule="auto"/>
        <w:rPr>
          <w:rFonts w:ascii="宋体" w:hAnsi="宋体"/>
          <w:sz w:val="24"/>
        </w:rPr>
      </w:pPr>
    </w:p>
    <w:p w14:paraId="1AC77708">
      <w:pPr>
        <w:spacing w:line="360" w:lineRule="auto"/>
        <w:ind w:firstLine="600" w:firstLineChars="250"/>
        <w:rPr>
          <w:rFonts w:ascii="宋体" w:hAnsi="宋体"/>
          <w:sz w:val="24"/>
        </w:rPr>
      </w:pPr>
      <w:r>
        <w:rPr>
          <w:rFonts w:hint="eastAsia" w:ascii="宋体" w:hAnsi="宋体"/>
          <w:sz w:val="24"/>
        </w:rPr>
        <w:t>本人</w:t>
      </w:r>
      <w:r>
        <w:rPr>
          <w:rFonts w:hint="eastAsia" w:ascii="宋体" w:hAnsi="宋体"/>
          <w:sz w:val="24"/>
          <w:u w:val="single"/>
        </w:rPr>
        <w:t>（姓名）</w:t>
      </w:r>
      <w:r>
        <w:rPr>
          <w:rFonts w:hint="eastAsia" w:ascii="宋体" w:hAnsi="宋体"/>
          <w:sz w:val="24"/>
        </w:rPr>
        <w:t>系</w:t>
      </w:r>
      <w:r>
        <w:rPr>
          <w:rFonts w:hint="eastAsia" w:ascii="宋体" w:hAnsi="宋体"/>
          <w:sz w:val="24"/>
          <w:u w:val="single"/>
        </w:rPr>
        <w:t>（磋商供应商全称）</w:t>
      </w:r>
      <w:r>
        <w:rPr>
          <w:rFonts w:hint="eastAsia" w:ascii="宋体" w:hAnsi="宋体"/>
          <w:sz w:val="24"/>
        </w:rPr>
        <w:t>法定代表人，现授权委托</w:t>
      </w:r>
      <w:r>
        <w:rPr>
          <w:rFonts w:hint="eastAsia" w:ascii="宋体" w:hAnsi="宋体"/>
          <w:sz w:val="24"/>
          <w:u w:val="single"/>
        </w:rPr>
        <w:t>（磋商供应商代表姓名）</w:t>
      </w:r>
      <w:r>
        <w:rPr>
          <w:rFonts w:hint="eastAsia" w:ascii="宋体" w:hAnsi="宋体"/>
          <w:sz w:val="24"/>
        </w:rPr>
        <w:t>为全权代表，参加贵处组织的</w:t>
      </w:r>
      <w:r>
        <w:rPr>
          <w:rFonts w:hint="eastAsia" w:ascii="宋体" w:hAnsi="宋体"/>
          <w:sz w:val="24"/>
          <w:u w:val="single"/>
        </w:rPr>
        <w:t>台州市中医院年度广告制作服务项目</w:t>
      </w:r>
      <w:r>
        <w:rPr>
          <w:rFonts w:hint="eastAsia" w:ascii="宋体" w:hAnsi="宋体"/>
          <w:sz w:val="24"/>
        </w:rPr>
        <w:t>（项目编号</w:t>
      </w:r>
      <w:r>
        <w:rPr>
          <w:rFonts w:hint="eastAsia" w:ascii="宋体" w:hAnsi="宋体" w:cs="宋体"/>
          <w:sz w:val="24"/>
          <w:lang w:val="en-US" w:eastAsia="zh-CN"/>
        </w:rPr>
        <w:t>TZSZYYZWZB001</w:t>
      </w:r>
      <w:r>
        <w:rPr>
          <w:rFonts w:hint="eastAsia" w:ascii="宋体" w:hAnsi="宋体"/>
          <w:sz w:val="24"/>
        </w:rPr>
        <w:t>）磋商活动，并代表我公司全权办理针对上述项目的</w:t>
      </w:r>
      <w:r>
        <w:rPr>
          <w:rFonts w:hint="eastAsia" w:ascii="宋体" w:hAnsi="宋体"/>
          <w:b/>
          <w:sz w:val="24"/>
        </w:rPr>
        <w:t>磋商全程各事项、响应文件签署、合同签订及项目实施</w:t>
      </w:r>
      <w:r>
        <w:rPr>
          <w:rFonts w:hint="eastAsia" w:ascii="宋体" w:hAnsi="宋体"/>
          <w:sz w:val="24"/>
        </w:rPr>
        <w:t>等涉及的一切事宜，我公司对被授权人的签名等行为均予以</w:t>
      </w:r>
      <w:r>
        <w:rPr>
          <w:rFonts w:ascii="宋体" w:hAnsi="宋体"/>
          <w:sz w:val="24"/>
        </w:rPr>
        <w:t>承</w:t>
      </w:r>
      <w:r>
        <w:rPr>
          <w:rFonts w:hint="eastAsia" w:ascii="宋体" w:hAnsi="宋体"/>
          <w:sz w:val="24"/>
        </w:rPr>
        <w:t>认，由此所产生的一切法律后果和法律责任，均由我公司</w:t>
      </w:r>
      <w:r>
        <w:rPr>
          <w:rFonts w:ascii="宋体" w:hAnsi="宋体"/>
          <w:sz w:val="24"/>
        </w:rPr>
        <w:t>承担</w:t>
      </w:r>
      <w:r>
        <w:rPr>
          <w:rFonts w:hint="eastAsia" w:ascii="宋体" w:hAnsi="宋体"/>
          <w:sz w:val="24"/>
        </w:rPr>
        <w:t>。同时宣布承诺如下：</w:t>
      </w:r>
    </w:p>
    <w:p w14:paraId="5942CA1A">
      <w:pPr>
        <w:numPr>
          <w:ilvl w:val="0"/>
          <w:numId w:val="5"/>
        </w:numPr>
        <w:spacing w:line="360" w:lineRule="auto"/>
        <w:rPr>
          <w:rFonts w:ascii="宋体" w:hAnsi="宋体"/>
          <w:sz w:val="24"/>
        </w:rPr>
      </w:pPr>
      <w:r>
        <w:rPr>
          <w:rFonts w:hint="eastAsia" w:ascii="宋体" w:hAnsi="宋体"/>
          <w:sz w:val="24"/>
        </w:rPr>
        <w:t>我公司已详细阅读全部磋商文件（含补充修改文件），并理解其实质</w:t>
      </w:r>
    </w:p>
    <w:p w14:paraId="25D45968">
      <w:pPr>
        <w:spacing w:line="360" w:lineRule="auto"/>
        <w:rPr>
          <w:rFonts w:ascii="宋体" w:hAnsi="宋体"/>
          <w:sz w:val="24"/>
        </w:rPr>
      </w:pPr>
      <w:r>
        <w:rPr>
          <w:rFonts w:hint="eastAsia" w:ascii="宋体" w:hAnsi="宋体"/>
          <w:sz w:val="24"/>
        </w:rPr>
        <w:t>性内容，同意承担磋商文件规定的全部义务和相关责任。</w:t>
      </w:r>
    </w:p>
    <w:p w14:paraId="3C3FB776">
      <w:pPr>
        <w:numPr>
          <w:ilvl w:val="0"/>
          <w:numId w:val="5"/>
        </w:numPr>
        <w:spacing w:line="360" w:lineRule="auto"/>
        <w:rPr>
          <w:rFonts w:ascii="宋体" w:hAnsi="宋体"/>
          <w:sz w:val="24"/>
        </w:rPr>
      </w:pPr>
      <w:r>
        <w:rPr>
          <w:rFonts w:hint="eastAsia" w:ascii="宋体" w:hAnsi="宋体"/>
          <w:sz w:val="24"/>
        </w:rPr>
        <w:t>我公司同意提供可能要求的与其磋商有关的一切数据或资料。</w:t>
      </w:r>
    </w:p>
    <w:p w14:paraId="6E052EBD">
      <w:pPr>
        <w:numPr>
          <w:ilvl w:val="0"/>
          <w:numId w:val="5"/>
        </w:numPr>
        <w:spacing w:line="360" w:lineRule="auto"/>
        <w:rPr>
          <w:rFonts w:ascii="宋体" w:hAnsi="宋体"/>
          <w:sz w:val="24"/>
        </w:rPr>
      </w:pPr>
      <w:r>
        <w:rPr>
          <w:rFonts w:hint="eastAsia" w:ascii="宋体" w:hAnsi="宋体"/>
          <w:sz w:val="24"/>
        </w:rPr>
        <w:t>我公司所提交的一切磋商资料均为合法且真实有效。</w:t>
      </w:r>
    </w:p>
    <w:p w14:paraId="26DEC8AC">
      <w:pPr>
        <w:spacing w:line="360" w:lineRule="auto"/>
        <w:rPr>
          <w:rFonts w:ascii="宋体" w:hAnsi="宋体"/>
          <w:sz w:val="24"/>
        </w:rPr>
      </w:pPr>
    </w:p>
    <w:p w14:paraId="3E079248">
      <w:pPr>
        <w:rPr>
          <w:rFonts w:ascii="宋体" w:hAnsi="宋体"/>
          <w:sz w:val="24"/>
        </w:rPr>
      </w:pPr>
      <w:r>
        <w:rPr>
          <w:rFonts w:hint="eastAsia" w:ascii="宋体" w:hAnsi="宋体"/>
          <w:sz w:val="24"/>
        </w:rPr>
        <w:t>法定代表人签字或盖章：</w:t>
      </w:r>
    </w:p>
    <w:p w14:paraId="4E0D7911">
      <w:pPr>
        <w:rPr>
          <w:rFonts w:ascii="宋体" w:hAnsi="宋体"/>
          <w:sz w:val="24"/>
        </w:rPr>
      </w:pPr>
    </w:p>
    <w:p w14:paraId="1FB26C30">
      <w:pPr>
        <w:rPr>
          <w:rFonts w:ascii="宋体" w:hAnsi="宋体"/>
          <w:sz w:val="24"/>
        </w:rPr>
      </w:pPr>
    </w:p>
    <w:p w14:paraId="10423867">
      <w:pPr>
        <w:rPr>
          <w:rFonts w:ascii="宋体" w:hAnsi="宋体"/>
          <w:sz w:val="24"/>
        </w:rPr>
      </w:pPr>
      <w:r>
        <w:rPr>
          <w:rFonts w:hint="eastAsia" w:ascii="宋体" w:hAnsi="宋体"/>
          <w:sz w:val="24"/>
        </w:rPr>
        <w:t>磋商供应商全称（公章）：                              日期：</w:t>
      </w:r>
    </w:p>
    <w:p w14:paraId="11F368C7">
      <w:pPr>
        <w:rPr>
          <w:rFonts w:ascii="宋体" w:hAnsi="宋体"/>
          <w:sz w:val="24"/>
        </w:rPr>
      </w:pPr>
    </w:p>
    <w:p w14:paraId="18964CD2">
      <w:pPr>
        <w:spacing w:line="380" w:lineRule="atLeast"/>
        <w:rPr>
          <w:rFonts w:ascii="宋体" w:hAnsi="宋体"/>
          <w:sz w:val="24"/>
        </w:rPr>
      </w:pPr>
    </w:p>
    <w:p w14:paraId="60CED3D2">
      <w:pPr>
        <w:spacing w:line="400" w:lineRule="atLeast"/>
        <w:rPr>
          <w:rFonts w:ascii="宋体" w:hAnsi="宋体"/>
          <w:b/>
          <w:sz w:val="24"/>
        </w:rPr>
      </w:pPr>
      <w:r>
        <w:rPr>
          <w:rFonts w:hint="eastAsia" w:ascii="宋体" w:hAnsi="宋体"/>
          <w:b/>
          <w:sz w:val="24"/>
        </w:rPr>
        <w:t>附：</w:t>
      </w:r>
    </w:p>
    <w:tbl>
      <w:tblPr>
        <w:tblStyle w:val="30"/>
        <w:tblpPr w:leftFromText="180" w:rightFromText="180" w:vertAnchor="text" w:tblpX="4209" w:tblpY="321"/>
        <w:tblW w:w="4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0"/>
      </w:tblGrid>
      <w:tr w14:paraId="74DFF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4080" w:type="dxa"/>
          </w:tcPr>
          <w:p w14:paraId="04FAAB2C">
            <w:pPr>
              <w:spacing w:line="400" w:lineRule="atLeast"/>
              <w:rPr>
                <w:rFonts w:ascii="宋体" w:hAnsi="宋体"/>
                <w:b/>
                <w:sz w:val="24"/>
              </w:rPr>
            </w:pPr>
          </w:p>
          <w:p w14:paraId="726DFC1A">
            <w:pPr>
              <w:spacing w:line="400" w:lineRule="atLeast"/>
              <w:rPr>
                <w:rFonts w:ascii="宋体" w:hAnsi="宋体"/>
                <w:b/>
                <w:sz w:val="24"/>
              </w:rPr>
            </w:pPr>
            <w:r>
              <w:rPr>
                <w:rFonts w:hint="eastAsia" w:ascii="宋体" w:hAnsi="宋体"/>
                <w:b/>
                <w:sz w:val="24"/>
              </w:rPr>
              <w:t>磋商供应商代表身份证复印件粘帖处</w:t>
            </w:r>
          </w:p>
        </w:tc>
      </w:tr>
    </w:tbl>
    <w:p w14:paraId="08A12C12">
      <w:pPr>
        <w:spacing w:line="400" w:lineRule="atLeast"/>
        <w:rPr>
          <w:rFonts w:ascii="宋体" w:hAnsi="宋体"/>
          <w:sz w:val="24"/>
        </w:rPr>
      </w:pPr>
      <w:r>
        <w:rPr>
          <w:rFonts w:hint="eastAsia" w:ascii="宋体" w:hAnsi="宋体"/>
          <w:sz w:val="24"/>
        </w:rPr>
        <w:t xml:space="preserve">磋商供应商授权代表姓名：       </w:t>
      </w:r>
    </w:p>
    <w:p w14:paraId="5AE3A725">
      <w:pPr>
        <w:spacing w:line="400" w:lineRule="atLeast"/>
        <w:rPr>
          <w:rFonts w:ascii="宋体" w:hAnsi="宋体"/>
          <w:sz w:val="24"/>
        </w:rPr>
      </w:pPr>
      <w:r>
        <w:rPr>
          <w:rFonts w:hint="eastAsia" w:ascii="宋体" w:hAnsi="宋体"/>
          <w:sz w:val="24"/>
        </w:rPr>
        <w:t xml:space="preserve">职务：                           </w:t>
      </w:r>
    </w:p>
    <w:p w14:paraId="1FA4DCF6">
      <w:pPr>
        <w:spacing w:line="400" w:lineRule="atLeast"/>
        <w:rPr>
          <w:rFonts w:ascii="宋体" w:hAnsi="宋体"/>
          <w:sz w:val="24"/>
        </w:rPr>
      </w:pPr>
      <w:r>
        <w:rPr>
          <w:rFonts w:hint="eastAsia" w:ascii="宋体" w:hAnsi="宋体"/>
          <w:sz w:val="24"/>
        </w:rPr>
        <w:t>传真：</w:t>
      </w:r>
    </w:p>
    <w:p w14:paraId="2BA5A7AA">
      <w:pPr>
        <w:spacing w:line="400" w:lineRule="atLeast"/>
        <w:rPr>
          <w:rFonts w:ascii="宋体" w:hAnsi="宋体"/>
          <w:sz w:val="24"/>
        </w:rPr>
      </w:pPr>
      <w:r>
        <w:rPr>
          <w:rFonts w:hint="eastAsia" w:ascii="宋体" w:hAnsi="宋体"/>
          <w:sz w:val="24"/>
        </w:rPr>
        <w:t>电话：</w:t>
      </w:r>
    </w:p>
    <w:p w14:paraId="3F70E73D">
      <w:pPr>
        <w:spacing w:line="400" w:lineRule="atLeast"/>
        <w:rPr>
          <w:rFonts w:ascii="宋体" w:hAnsi="宋体"/>
          <w:sz w:val="24"/>
        </w:rPr>
      </w:pPr>
      <w:r>
        <w:rPr>
          <w:rFonts w:hint="eastAsia" w:ascii="宋体" w:hAnsi="宋体"/>
          <w:sz w:val="24"/>
        </w:rPr>
        <w:t>详细通讯地址：</w:t>
      </w:r>
    </w:p>
    <w:p w14:paraId="1AB6983C">
      <w:pPr>
        <w:spacing w:line="400" w:lineRule="atLeast"/>
        <w:rPr>
          <w:rFonts w:ascii="宋体" w:hAnsi="宋体"/>
          <w:sz w:val="24"/>
        </w:rPr>
      </w:pPr>
      <w:r>
        <w:rPr>
          <w:rFonts w:hint="eastAsia" w:ascii="宋体" w:hAnsi="宋体"/>
          <w:sz w:val="24"/>
        </w:rPr>
        <w:t>邮政编码：</w:t>
      </w:r>
    </w:p>
    <w:p w14:paraId="6D714256">
      <w:pPr>
        <w:rPr>
          <w:rFonts w:ascii="宋体" w:hAnsi="宋体"/>
          <w:b/>
          <w:sz w:val="28"/>
          <w:szCs w:val="28"/>
        </w:rPr>
      </w:pPr>
      <w:r>
        <w:rPr>
          <w:rFonts w:hint="eastAsia" w:ascii="宋体" w:hAnsi="宋体"/>
          <w:b/>
          <w:sz w:val="28"/>
          <w:szCs w:val="28"/>
        </w:rPr>
        <w:br w:type="page"/>
      </w:r>
    </w:p>
    <w:p w14:paraId="7B0B5218">
      <w:pPr>
        <w:spacing w:line="360" w:lineRule="atLeast"/>
        <w:rPr>
          <w:rFonts w:ascii="宋体" w:hAnsi="宋体"/>
          <w:b/>
          <w:sz w:val="28"/>
        </w:rPr>
      </w:pPr>
      <w:r>
        <w:rPr>
          <w:rFonts w:hint="eastAsia" w:ascii="宋体" w:hAnsi="宋体"/>
          <w:b/>
          <w:sz w:val="28"/>
        </w:rPr>
        <w:t>附件7</w:t>
      </w:r>
    </w:p>
    <w:p w14:paraId="2B4B8A0B">
      <w:pPr>
        <w:pStyle w:val="48"/>
        <w:shd w:val="clear" w:color="auto" w:fill="FFFFFF"/>
        <w:spacing w:before="0" w:beforeAutospacing="0" w:after="0" w:afterAutospacing="0"/>
        <w:jc w:val="center"/>
        <w:rPr>
          <w:b/>
          <w:bCs/>
          <w:spacing w:val="21"/>
          <w:sz w:val="32"/>
          <w:szCs w:val="32"/>
        </w:rPr>
      </w:pPr>
      <w:r>
        <w:rPr>
          <w:rFonts w:hint="eastAsia"/>
          <w:b/>
          <w:sz w:val="32"/>
          <w:szCs w:val="32"/>
        </w:rPr>
        <w:t>供应商</w:t>
      </w:r>
      <w:r>
        <w:rPr>
          <w:rFonts w:hint="eastAsia"/>
          <w:b/>
          <w:bCs/>
          <w:spacing w:val="21"/>
          <w:sz w:val="32"/>
          <w:szCs w:val="32"/>
        </w:rPr>
        <w:t>基本情况表</w:t>
      </w:r>
    </w:p>
    <w:tbl>
      <w:tblPr>
        <w:tblStyle w:val="30"/>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701"/>
        <w:gridCol w:w="852"/>
        <w:gridCol w:w="58"/>
        <w:gridCol w:w="1163"/>
        <w:gridCol w:w="112"/>
        <w:gridCol w:w="1093"/>
        <w:gridCol w:w="325"/>
        <w:gridCol w:w="1276"/>
        <w:gridCol w:w="400"/>
        <w:gridCol w:w="1218"/>
        <w:gridCol w:w="933"/>
      </w:tblGrid>
      <w:tr w14:paraId="09C7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82" w:type="dxa"/>
            <w:vAlign w:val="center"/>
          </w:tcPr>
          <w:p w14:paraId="37A9999E">
            <w:pPr>
              <w:pStyle w:val="48"/>
              <w:shd w:val="clear" w:color="auto" w:fill="FFFFFF"/>
              <w:adjustRightInd w:val="0"/>
              <w:snapToGrid w:val="0"/>
              <w:ind w:left="-105" w:leftChars="-50" w:right="-105" w:rightChars="-50"/>
              <w:jc w:val="center"/>
              <w:rPr>
                <w:bCs/>
                <w:szCs w:val="21"/>
              </w:rPr>
            </w:pPr>
            <w:r>
              <w:rPr>
                <w:rFonts w:hint="eastAsia"/>
                <w:bCs/>
                <w:spacing w:val="27"/>
                <w:szCs w:val="21"/>
              </w:rPr>
              <w:t>企业名称</w:t>
            </w:r>
          </w:p>
        </w:tc>
        <w:tc>
          <w:tcPr>
            <w:tcW w:w="3979" w:type="dxa"/>
            <w:gridSpan w:val="6"/>
            <w:vAlign w:val="center"/>
          </w:tcPr>
          <w:p w14:paraId="3971DFC2">
            <w:pPr>
              <w:pStyle w:val="48"/>
              <w:shd w:val="clear" w:color="auto" w:fill="FFFFFF"/>
              <w:adjustRightInd w:val="0"/>
              <w:snapToGrid w:val="0"/>
              <w:ind w:left="-105" w:leftChars="-50" w:right="-105" w:rightChars="-50"/>
              <w:jc w:val="center"/>
              <w:rPr>
                <w:bCs/>
                <w:szCs w:val="21"/>
              </w:rPr>
            </w:pPr>
          </w:p>
        </w:tc>
        <w:tc>
          <w:tcPr>
            <w:tcW w:w="2001" w:type="dxa"/>
            <w:gridSpan w:val="3"/>
            <w:vAlign w:val="center"/>
          </w:tcPr>
          <w:p w14:paraId="31BE3E90">
            <w:pPr>
              <w:pStyle w:val="48"/>
              <w:shd w:val="clear" w:color="auto" w:fill="FFFFFF"/>
              <w:adjustRightInd w:val="0"/>
              <w:snapToGrid w:val="0"/>
              <w:ind w:left="-105" w:leftChars="-50" w:right="-105" w:rightChars="-50"/>
              <w:jc w:val="center"/>
              <w:rPr>
                <w:bCs/>
                <w:szCs w:val="21"/>
              </w:rPr>
            </w:pPr>
            <w:r>
              <w:rPr>
                <w:rFonts w:hint="eastAsia"/>
                <w:bCs/>
                <w:spacing w:val="16"/>
                <w:szCs w:val="21"/>
              </w:rPr>
              <w:t>法人代表</w:t>
            </w:r>
          </w:p>
        </w:tc>
        <w:tc>
          <w:tcPr>
            <w:tcW w:w="2151" w:type="dxa"/>
            <w:gridSpan w:val="2"/>
            <w:vAlign w:val="center"/>
          </w:tcPr>
          <w:p w14:paraId="0DF98536">
            <w:pPr>
              <w:pStyle w:val="48"/>
              <w:shd w:val="clear" w:color="auto" w:fill="FFFFFF"/>
              <w:adjustRightInd w:val="0"/>
              <w:snapToGrid w:val="0"/>
              <w:ind w:left="-105" w:leftChars="-50" w:right="-105" w:rightChars="-50"/>
              <w:jc w:val="center"/>
              <w:rPr>
                <w:bCs/>
                <w:szCs w:val="21"/>
              </w:rPr>
            </w:pPr>
          </w:p>
        </w:tc>
      </w:tr>
      <w:tr w14:paraId="01EDF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82" w:type="dxa"/>
            <w:vAlign w:val="center"/>
          </w:tcPr>
          <w:p w14:paraId="7467601C">
            <w:pPr>
              <w:pStyle w:val="48"/>
              <w:shd w:val="clear" w:color="auto" w:fill="FFFFFF"/>
              <w:adjustRightInd w:val="0"/>
              <w:snapToGrid w:val="0"/>
              <w:ind w:left="-105" w:leftChars="-50" w:right="-105" w:rightChars="-50"/>
              <w:jc w:val="center"/>
              <w:rPr>
                <w:bCs/>
                <w:spacing w:val="16"/>
                <w:szCs w:val="21"/>
              </w:rPr>
            </w:pPr>
            <w:r>
              <w:rPr>
                <w:rFonts w:hint="eastAsia"/>
                <w:bCs/>
                <w:spacing w:val="27"/>
                <w:szCs w:val="21"/>
              </w:rPr>
              <w:t>地址</w:t>
            </w:r>
          </w:p>
        </w:tc>
        <w:tc>
          <w:tcPr>
            <w:tcW w:w="3979" w:type="dxa"/>
            <w:gridSpan w:val="6"/>
            <w:tcBorders>
              <w:bottom w:val="single" w:color="auto" w:sz="4" w:space="0"/>
            </w:tcBorders>
            <w:vAlign w:val="center"/>
          </w:tcPr>
          <w:p w14:paraId="5D935B0D">
            <w:pPr>
              <w:pStyle w:val="48"/>
              <w:shd w:val="clear" w:color="auto" w:fill="FFFFFF"/>
              <w:adjustRightInd w:val="0"/>
              <w:snapToGrid w:val="0"/>
              <w:ind w:left="-105" w:leftChars="-50" w:right="-105" w:rightChars="-50"/>
              <w:jc w:val="center"/>
              <w:rPr>
                <w:bCs/>
                <w:spacing w:val="16"/>
                <w:szCs w:val="21"/>
              </w:rPr>
            </w:pPr>
          </w:p>
        </w:tc>
        <w:tc>
          <w:tcPr>
            <w:tcW w:w="2001" w:type="dxa"/>
            <w:gridSpan w:val="3"/>
            <w:vAlign w:val="center"/>
          </w:tcPr>
          <w:p w14:paraId="41E451C9">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企业性质</w:t>
            </w:r>
          </w:p>
        </w:tc>
        <w:tc>
          <w:tcPr>
            <w:tcW w:w="2151" w:type="dxa"/>
            <w:gridSpan w:val="2"/>
            <w:vAlign w:val="center"/>
          </w:tcPr>
          <w:p w14:paraId="49259269">
            <w:pPr>
              <w:pStyle w:val="48"/>
              <w:shd w:val="clear" w:color="auto" w:fill="FFFFFF"/>
              <w:adjustRightInd w:val="0"/>
              <w:snapToGrid w:val="0"/>
              <w:ind w:left="-105" w:leftChars="-50" w:right="-105" w:rightChars="-50"/>
              <w:jc w:val="center"/>
              <w:rPr>
                <w:bCs/>
                <w:spacing w:val="16"/>
                <w:szCs w:val="21"/>
              </w:rPr>
            </w:pPr>
          </w:p>
        </w:tc>
      </w:tr>
      <w:tr w14:paraId="417A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82" w:type="dxa"/>
            <w:tcBorders>
              <w:bottom w:val="single" w:color="auto" w:sz="4" w:space="0"/>
            </w:tcBorders>
            <w:vAlign w:val="center"/>
          </w:tcPr>
          <w:p w14:paraId="4F7D3632">
            <w:pPr>
              <w:pStyle w:val="48"/>
              <w:shd w:val="clear" w:color="auto" w:fill="FFFFFF"/>
              <w:adjustRightInd w:val="0"/>
              <w:snapToGrid w:val="0"/>
              <w:ind w:left="-105" w:leftChars="-50" w:right="-105" w:rightChars="-50"/>
              <w:jc w:val="center"/>
              <w:rPr>
                <w:bCs/>
                <w:spacing w:val="16"/>
                <w:szCs w:val="21"/>
              </w:rPr>
            </w:pPr>
            <w:r>
              <w:rPr>
                <w:rFonts w:hint="eastAsia"/>
                <w:bCs/>
                <w:spacing w:val="27"/>
                <w:szCs w:val="21"/>
              </w:rPr>
              <w:t>股东姓名</w:t>
            </w:r>
          </w:p>
        </w:tc>
        <w:tc>
          <w:tcPr>
            <w:tcW w:w="701" w:type="dxa"/>
            <w:tcBorders>
              <w:bottom w:val="single" w:color="auto" w:sz="4" w:space="0"/>
            </w:tcBorders>
            <w:vAlign w:val="center"/>
          </w:tcPr>
          <w:p w14:paraId="3E5529D9">
            <w:pPr>
              <w:pStyle w:val="48"/>
              <w:shd w:val="clear" w:color="auto" w:fill="FFFFFF"/>
              <w:adjustRightInd w:val="0"/>
              <w:snapToGrid w:val="0"/>
              <w:spacing w:before="0" w:beforeAutospacing="0" w:after="0" w:afterAutospacing="0"/>
              <w:ind w:left="-105" w:leftChars="-50" w:right="-105" w:rightChars="-50"/>
              <w:jc w:val="center"/>
              <w:rPr>
                <w:bCs/>
                <w:spacing w:val="16"/>
                <w:szCs w:val="21"/>
              </w:rPr>
            </w:pPr>
          </w:p>
        </w:tc>
        <w:tc>
          <w:tcPr>
            <w:tcW w:w="910" w:type="dxa"/>
            <w:gridSpan w:val="2"/>
            <w:tcBorders>
              <w:bottom w:val="single" w:color="auto" w:sz="4" w:space="0"/>
            </w:tcBorders>
            <w:vAlign w:val="center"/>
          </w:tcPr>
          <w:p w14:paraId="2FFD21D5">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股权结构（%）</w:t>
            </w:r>
          </w:p>
        </w:tc>
        <w:tc>
          <w:tcPr>
            <w:tcW w:w="2368" w:type="dxa"/>
            <w:gridSpan w:val="3"/>
            <w:tcBorders>
              <w:bottom w:val="single" w:color="auto" w:sz="4" w:space="0"/>
            </w:tcBorders>
            <w:vAlign w:val="center"/>
          </w:tcPr>
          <w:p w14:paraId="3329AF4A">
            <w:pPr>
              <w:widowControl/>
              <w:adjustRightInd w:val="0"/>
              <w:snapToGrid w:val="0"/>
              <w:ind w:left="-105" w:leftChars="-50" w:right="-105" w:rightChars="-50"/>
              <w:jc w:val="center"/>
              <w:rPr>
                <w:rFonts w:ascii="宋体" w:hAnsi="宋体" w:cs="宋体"/>
                <w:bCs/>
                <w:spacing w:val="16"/>
                <w:kern w:val="0"/>
                <w:szCs w:val="21"/>
              </w:rPr>
            </w:pPr>
          </w:p>
          <w:p w14:paraId="0EBC432B">
            <w:pPr>
              <w:pStyle w:val="48"/>
              <w:shd w:val="clear" w:color="auto" w:fill="FFFFFF"/>
              <w:adjustRightInd w:val="0"/>
              <w:snapToGrid w:val="0"/>
              <w:ind w:left="-105" w:leftChars="-50" w:right="-105" w:rightChars="-50"/>
              <w:jc w:val="center"/>
              <w:rPr>
                <w:bCs/>
                <w:spacing w:val="16"/>
                <w:szCs w:val="21"/>
              </w:rPr>
            </w:pPr>
          </w:p>
        </w:tc>
        <w:tc>
          <w:tcPr>
            <w:tcW w:w="2001" w:type="dxa"/>
            <w:gridSpan w:val="3"/>
            <w:vAlign w:val="center"/>
          </w:tcPr>
          <w:p w14:paraId="08586404">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股东关系</w:t>
            </w:r>
          </w:p>
        </w:tc>
        <w:tc>
          <w:tcPr>
            <w:tcW w:w="2151" w:type="dxa"/>
            <w:gridSpan w:val="2"/>
            <w:vAlign w:val="center"/>
          </w:tcPr>
          <w:p w14:paraId="04A2E234">
            <w:pPr>
              <w:pStyle w:val="48"/>
              <w:shd w:val="clear" w:color="auto" w:fill="FFFFFF"/>
              <w:adjustRightInd w:val="0"/>
              <w:snapToGrid w:val="0"/>
              <w:ind w:left="-105" w:leftChars="-50" w:right="-105" w:rightChars="-50"/>
              <w:jc w:val="center"/>
              <w:rPr>
                <w:bCs/>
                <w:spacing w:val="16"/>
                <w:szCs w:val="21"/>
              </w:rPr>
            </w:pPr>
          </w:p>
        </w:tc>
      </w:tr>
      <w:tr w14:paraId="62333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82" w:type="dxa"/>
            <w:vMerge w:val="restart"/>
            <w:vAlign w:val="center"/>
          </w:tcPr>
          <w:p w14:paraId="60B0D980">
            <w:pPr>
              <w:pStyle w:val="48"/>
              <w:shd w:val="clear" w:color="auto" w:fill="FFFFFF"/>
              <w:adjustRightInd w:val="0"/>
              <w:snapToGrid w:val="0"/>
              <w:ind w:left="-105" w:leftChars="-50" w:right="-105" w:rightChars="-50"/>
              <w:jc w:val="center"/>
              <w:rPr>
                <w:bCs/>
                <w:spacing w:val="16"/>
                <w:szCs w:val="21"/>
              </w:rPr>
            </w:pPr>
            <w:r>
              <w:rPr>
                <w:rFonts w:hint="eastAsia"/>
                <w:bCs/>
                <w:spacing w:val="12"/>
                <w:szCs w:val="21"/>
              </w:rPr>
              <w:t>联系人</w:t>
            </w:r>
            <w:r>
              <w:rPr>
                <w:rFonts w:hint="eastAsia"/>
                <w:bCs/>
                <w:spacing w:val="27"/>
                <w:szCs w:val="21"/>
              </w:rPr>
              <w:t>姓名</w:t>
            </w:r>
          </w:p>
        </w:tc>
        <w:tc>
          <w:tcPr>
            <w:tcW w:w="701" w:type="dxa"/>
            <w:vMerge w:val="restart"/>
            <w:tcBorders>
              <w:top w:val="nil"/>
            </w:tcBorders>
            <w:vAlign w:val="center"/>
          </w:tcPr>
          <w:p w14:paraId="75D192D7">
            <w:pPr>
              <w:pStyle w:val="48"/>
              <w:shd w:val="clear" w:color="auto" w:fill="FFFFFF"/>
              <w:adjustRightInd w:val="0"/>
              <w:snapToGrid w:val="0"/>
              <w:ind w:left="-105" w:leftChars="-50" w:right="-105" w:rightChars="-50"/>
              <w:jc w:val="center"/>
              <w:rPr>
                <w:bCs/>
                <w:spacing w:val="16"/>
                <w:szCs w:val="21"/>
              </w:rPr>
            </w:pPr>
          </w:p>
        </w:tc>
        <w:tc>
          <w:tcPr>
            <w:tcW w:w="910" w:type="dxa"/>
            <w:gridSpan w:val="2"/>
            <w:tcBorders>
              <w:top w:val="nil"/>
              <w:bottom w:val="single" w:color="auto" w:sz="4" w:space="0"/>
            </w:tcBorders>
            <w:vAlign w:val="center"/>
          </w:tcPr>
          <w:p w14:paraId="6EE9E03F">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固定电话</w:t>
            </w:r>
          </w:p>
        </w:tc>
        <w:tc>
          <w:tcPr>
            <w:tcW w:w="2368" w:type="dxa"/>
            <w:gridSpan w:val="3"/>
            <w:tcBorders>
              <w:top w:val="nil"/>
              <w:bottom w:val="single" w:color="auto" w:sz="4" w:space="0"/>
            </w:tcBorders>
            <w:vAlign w:val="center"/>
          </w:tcPr>
          <w:p w14:paraId="63937B8C">
            <w:pPr>
              <w:widowControl/>
              <w:adjustRightInd w:val="0"/>
              <w:snapToGrid w:val="0"/>
              <w:ind w:left="-105" w:leftChars="-50" w:right="-105" w:rightChars="-50"/>
              <w:jc w:val="center"/>
              <w:rPr>
                <w:rFonts w:ascii="宋体" w:hAnsi="宋体" w:cs="宋体"/>
                <w:bCs/>
                <w:spacing w:val="16"/>
                <w:kern w:val="0"/>
                <w:szCs w:val="21"/>
              </w:rPr>
            </w:pPr>
          </w:p>
          <w:p w14:paraId="4032A36D">
            <w:pPr>
              <w:pStyle w:val="48"/>
              <w:shd w:val="clear" w:color="auto" w:fill="FFFFFF"/>
              <w:adjustRightInd w:val="0"/>
              <w:snapToGrid w:val="0"/>
              <w:ind w:left="-105" w:leftChars="-50" w:right="-105" w:rightChars="-50"/>
              <w:jc w:val="center"/>
              <w:rPr>
                <w:bCs/>
                <w:spacing w:val="16"/>
                <w:szCs w:val="21"/>
              </w:rPr>
            </w:pPr>
          </w:p>
        </w:tc>
        <w:tc>
          <w:tcPr>
            <w:tcW w:w="2001" w:type="dxa"/>
            <w:gridSpan w:val="3"/>
            <w:vMerge w:val="restart"/>
            <w:vAlign w:val="center"/>
          </w:tcPr>
          <w:p w14:paraId="27944106">
            <w:pPr>
              <w:pStyle w:val="48"/>
              <w:shd w:val="clear" w:color="auto" w:fill="FFFFFF"/>
              <w:adjustRightInd w:val="0"/>
              <w:snapToGrid w:val="0"/>
              <w:spacing w:before="0" w:beforeAutospacing="0" w:after="0" w:afterAutospacing="0"/>
              <w:ind w:left="-105" w:leftChars="-50" w:right="-105" w:rightChars="-50"/>
              <w:jc w:val="center"/>
              <w:rPr>
                <w:bCs/>
                <w:spacing w:val="16"/>
                <w:szCs w:val="21"/>
              </w:rPr>
            </w:pPr>
            <w:r>
              <w:rPr>
                <w:rFonts w:hint="eastAsia"/>
                <w:bCs/>
                <w:spacing w:val="16"/>
                <w:szCs w:val="21"/>
              </w:rPr>
              <w:t>传真</w:t>
            </w:r>
          </w:p>
        </w:tc>
        <w:tc>
          <w:tcPr>
            <w:tcW w:w="2151" w:type="dxa"/>
            <w:gridSpan w:val="2"/>
            <w:vMerge w:val="restart"/>
            <w:vAlign w:val="center"/>
          </w:tcPr>
          <w:p w14:paraId="762EA4D4">
            <w:pPr>
              <w:pStyle w:val="48"/>
              <w:shd w:val="clear" w:color="auto" w:fill="FFFFFF"/>
              <w:adjustRightInd w:val="0"/>
              <w:snapToGrid w:val="0"/>
              <w:ind w:left="-105" w:leftChars="-50" w:right="-105" w:rightChars="-50"/>
              <w:jc w:val="center"/>
              <w:rPr>
                <w:bCs/>
                <w:spacing w:val="16"/>
                <w:szCs w:val="21"/>
              </w:rPr>
            </w:pPr>
          </w:p>
        </w:tc>
      </w:tr>
      <w:tr w14:paraId="34D7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82" w:type="dxa"/>
            <w:vMerge w:val="continue"/>
            <w:tcBorders>
              <w:bottom w:val="single" w:color="auto" w:sz="4" w:space="0"/>
            </w:tcBorders>
            <w:vAlign w:val="center"/>
          </w:tcPr>
          <w:p w14:paraId="119FCC04">
            <w:pPr>
              <w:pStyle w:val="48"/>
              <w:shd w:val="clear" w:color="auto" w:fill="FFFFFF"/>
              <w:adjustRightInd w:val="0"/>
              <w:snapToGrid w:val="0"/>
              <w:ind w:left="-105" w:leftChars="-50" w:right="-105" w:rightChars="-50"/>
              <w:jc w:val="center"/>
              <w:rPr>
                <w:bCs/>
                <w:szCs w:val="21"/>
              </w:rPr>
            </w:pPr>
          </w:p>
        </w:tc>
        <w:tc>
          <w:tcPr>
            <w:tcW w:w="701" w:type="dxa"/>
            <w:vMerge w:val="continue"/>
            <w:tcBorders>
              <w:bottom w:val="single" w:color="auto" w:sz="4" w:space="0"/>
            </w:tcBorders>
            <w:vAlign w:val="center"/>
          </w:tcPr>
          <w:p w14:paraId="3685ECA7">
            <w:pPr>
              <w:pStyle w:val="48"/>
              <w:shd w:val="clear" w:color="auto" w:fill="FFFFFF"/>
              <w:adjustRightInd w:val="0"/>
              <w:snapToGrid w:val="0"/>
              <w:ind w:left="-105" w:leftChars="-50" w:right="-105" w:rightChars="-50"/>
              <w:jc w:val="center"/>
              <w:rPr>
                <w:bCs/>
                <w:spacing w:val="16"/>
                <w:szCs w:val="21"/>
              </w:rPr>
            </w:pPr>
          </w:p>
        </w:tc>
        <w:tc>
          <w:tcPr>
            <w:tcW w:w="910" w:type="dxa"/>
            <w:gridSpan w:val="2"/>
            <w:tcBorders>
              <w:bottom w:val="single" w:color="auto" w:sz="4" w:space="0"/>
            </w:tcBorders>
            <w:vAlign w:val="center"/>
          </w:tcPr>
          <w:p w14:paraId="38993F52">
            <w:pPr>
              <w:pStyle w:val="48"/>
              <w:shd w:val="clear" w:color="auto" w:fill="FFFFFF"/>
              <w:adjustRightInd w:val="0"/>
              <w:snapToGrid w:val="0"/>
              <w:ind w:left="-105" w:leftChars="-50" w:right="-105" w:rightChars="-50"/>
              <w:jc w:val="center"/>
              <w:rPr>
                <w:bCs/>
                <w:spacing w:val="16"/>
                <w:szCs w:val="21"/>
              </w:rPr>
            </w:pPr>
            <w:r>
              <w:rPr>
                <w:rFonts w:hint="eastAsia"/>
                <w:bCs/>
                <w:spacing w:val="27"/>
                <w:szCs w:val="21"/>
              </w:rPr>
              <w:t>手机</w:t>
            </w:r>
          </w:p>
        </w:tc>
        <w:tc>
          <w:tcPr>
            <w:tcW w:w="2368" w:type="dxa"/>
            <w:gridSpan w:val="3"/>
            <w:tcBorders>
              <w:bottom w:val="single" w:color="auto" w:sz="4" w:space="0"/>
            </w:tcBorders>
            <w:vAlign w:val="center"/>
          </w:tcPr>
          <w:p w14:paraId="4C83F2B1">
            <w:pPr>
              <w:pStyle w:val="48"/>
              <w:shd w:val="clear" w:color="auto" w:fill="FFFFFF"/>
              <w:adjustRightInd w:val="0"/>
              <w:snapToGrid w:val="0"/>
              <w:ind w:left="-105" w:leftChars="-50" w:right="-105" w:rightChars="-50"/>
              <w:jc w:val="center"/>
              <w:rPr>
                <w:bCs/>
                <w:spacing w:val="16"/>
                <w:szCs w:val="21"/>
              </w:rPr>
            </w:pPr>
          </w:p>
        </w:tc>
        <w:tc>
          <w:tcPr>
            <w:tcW w:w="2001" w:type="dxa"/>
            <w:gridSpan w:val="3"/>
            <w:vMerge w:val="continue"/>
            <w:vAlign w:val="center"/>
          </w:tcPr>
          <w:p w14:paraId="01309FA4">
            <w:pPr>
              <w:pStyle w:val="48"/>
              <w:shd w:val="clear" w:color="auto" w:fill="FFFFFF"/>
              <w:adjustRightInd w:val="0"/>
              <w:snapToGrid w:val="0"/>
              <w:ind w:left="-105" w:leftChars="-50" w:right="-105" w:rightChars="-50"/>
              <w:jc w:val="center"/>
              <w:rPr>
                <w:bCs/>
                <w:spacing w:val="16"/>
                <w:szCs w:val="21"/>
              </w:rPr>
            </w:pPr>
          </w:p>
        </w:tc>
        <w:tc>
          <w:tcPr>
            <w:tcW w:w="2151" w:type="dxa"/>
            <w:gridSpan w:val="2"/>
            <w:vMerge w:val="continue"/>
            <w:vAlign w:val="center"/>
          </w:tcPr>
          <w:p w14:paraId="13D5FEF1">
            <w:pPr>
              <w:pStyle w:val="48"/>
              <w:shd w:val="clear" w:color="auto" w:fill="FFFFFF"/>
              <w:adjustRightInd w:val="0"/>
              <w:snapToGrid w:val="0"/>
              <w:ind w:left="-105" w:leftChars="-50" w:right="-105" w:rightChars="-50"/>
              <w:jc w:val="center"/>
              <w:rPr>
                <w:bCs/>
                <w:spacing w:val="16"/>
                <w:szCs w:val="21"/>
              </w:rPr>
            </w:pPr>
          </w:p>
        </w:tc>
      </w:tr>
      <w:tr w14:paraId="5129D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682" w:type="dxa"/>
            <w:vMerge w:val="restart"/>
            <w:vAlign w:val="center"/>
          </w:tcPr>
          <w:p w14:paraId="75DFB636">
            <w:pPr>
              <w:pStyle w:val="48"/>
              <w:shd w:val="clear" w:color="auto" w:fill="FFFFFF"/>
              <w:adjustRightInd w:val="0"/>
              <w:snapToGrid w:val="0"/>
              <w:ind w:left="-105" w:leftChars="-50" w:right="-105" w:rightChars="-50"/>
              <w:jc w:val="center"/>
              <w:rPr>
                <w:bCs/>
                <w:szCs w:val="21"/>
              </w:rPr>
            </w:pPr>
            <w:r>
              <w:rPr>
                <w:bCs/>
                <w:szCs w:val="21"/>
              </w:rPr>
              <w:t>1</w:t>
            </w:r>
            <w:r>
              <w:rPr>
                <w:rFonts w:hint="eastAsia"/>
                <w:bCs/>
                <w:szCs w:val="21"/>
              </w:rPr>
              <w:t>.</w:t>
            </w:r>
          </w:p>
          <w:p w14:paraId="54929CF2">
            <w:pPr>
              <w:pStyle w:val="48"/>
              <w:shd w:val="clear" w:color="auto" w:fill="FFFFFF"/>
              <w:adjustRightInd w:val="0"/>
              <w:snapToGrid w:val="0"/>
              <w:ind w:left="-105" w:leftChars="-50" w:right="-105" w:rightChars="-50"/>
              <w:jc w:val="center"/>
              <w:rPr>
                <w:bCs/>
                <w:szCs w:val="21"/>
              </w:rPr>
            </w:pPr>
            <w:r>
              <w:rPr>
                <w:rFonts w:hint="eastAsia"/>
                <w:bCs/>
                <w:szCs w:val="21"/>
              </w:rPr>
              <w:t>企</w:t>
            </w:r>
          </w:p>
          <w:p w14:paraId="784CEFED">
            <w:pPr>
              <w:pStyle w:val="48"/>
              <w:shd w:val="clear" w:color="auto" w:fill="FFFFFF"/>
              <w:adjustRightInd w:val="0"/>
              <w:snapToGrid w:val="0"/>
              <w:ind w:left="-105" w:leftChars="-50" w:right="-105" w:rightChars="-50"/>
              <w:jc w:val="center"/>
              <w:rPr>
                <w:bCs/>
                <w:szCs w:val="21"/>
              </w:rPr>
            </w:pPr>
            <w:r>
              <w:rPr>
                <w:rFonts w:hint="eastAsia"/>
                <w:bCs/>
                <w:szCs w:val="21"/>
              </w:rPr>
              <w:t>业</w:t>
            </w:r>
          </w:p>
          <w:p w14:paraId="29DDE0C8">
            <w:pPr>
              <w:pStyle w:val="48"/>
              <w:shd w:val="clear" w:color="auto" w:fill="FFFFFF"/>
              <w:adjustRightInd w:val="0"/>
              <w:snapToGrid w:val="0"/>
              <w:ind w:left="-105" w:leftChars="-50" w:right="-105" w:rightChars="-50"/>
              <w:jc w:val="center"/>
              <w:rPr>
                <w:bCs/>
                <w:spacing w:val="27"/>
                <w:szCs w:val="21"/>
              </w:rPr>
            </w:pPr>
            <w:r>
              <w:rPr>
                <w:rFonts w:hint="eastAsia"/>
                <w:bCs/>
                <w:spacing w:val="27"/>
                <w:szCs w:val="21"/>
              </w:rPr>
              <w:t>概</w:t>
            </w:r>
          </w:p>
          <w:p w14:paraId="732AD1B8">
            <w:pPr>
              <w:pStyle w:val="48"/>
              <w:shd w:val="clear" w:color="auto" w:fill="FFFFFF"/>
              <w:adjustRightInd w:val="0"/>
              <w:snapToGrid w:val="0"/>
              <w:ind w:left="-105" w:leftChars="-50" w:right="-105" w:rightChars="-50"/>
              <w:jc w:val="center"/>
              <w:rPr>
                <w:bCs/>
                <w:szCs w:val="21"/>
              </w:rPr>
            </w:pPr>
            <w:r>
              <w:rPr>
                <w:rFonts w:hint="eastAsia"/>
                <w:bCs/>
                <w:spacing w:val="27"/>
                <w:szCs w:val="21"/>
              </w:rPr>
              <w:t>况</w:t>
            </w:r>
          </w:p>
        </w:tc>
        <w:tc>
          <w:tcPr>
            <w:tcW w:w="701" w:type="dxa"/>
            <w:tcBorders>
              <w:top w:val="nil"/>
            </w:tcBorders>
            <w:vAlign w:val="center"/>
          </w:tcPr>
          <w:p w14:paraId="226B594D">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职工人数</w:t>
            </w:r>
          </w:p>
        </w:tc>
        <w:tc>
          <w:tcPr>
            <w:tcW w:w="910" w:type="dxa"/>
            <w:gridSpan w:val="2"/>
            <w:tcBorders>
              <w:top w:val="nil"/>
            </w:tcBorders>
            <w:vAlign w:val="center"/>
          </w:tcPr>
          <w:p w14:paraId="1148490D">
            <w:pPr>
              <w:pStyle w:val="48"/>
              <w:shd w:val="clear" w:color="auto" w:fill="FFFFFF"/>
              <w:adjustRightInd w:val="0"/>
              <w:snapToGrid w:val="0"/>
              <w:ind w:left="-105" w:leftChars="-50" w:right="-105" w:rightChars="-50"/>
              <w:jc w:val="center"/>
              <w:rPr>
                <w:bCs/>
                <w:spacing w:val="16"/>
                <w:szCs w:val="21"/>
              </w:rPr>
            </w:pPr>
          </w:p>
        </w:tc>
        <w:tc>
          <w:tcPr>
            <w:tcW w:w="1163" w:type="dxa"/>
            <w:tcBorders>
              <w:top w:val="nil"/>
            </w:tcBorders>
            <w:vAlign w:val="center"/>
          </w:tcPr>
          <w:p w14:paraId="3C3C98E9">
            <w:pPr>
              <w:pStyle w:val="48"/>
              <w:shd w:val="clear" w:color="auto" w:fill="FFFFFF"/>
              <w:adjustRightInd w:val="0"/>
              <w:snapToGrid w:val="0"/>
              <w:spacing w:before="0" w:beforeAutospacing="0" w:after="0" w:afterAutospacing="0"/>
              <w:ind w:left="-105" w:leftChars="-50" w:right="-105" w:rightChars="-50"/>
              <w:jc w:val="center"/>
              <w:rPr>
                <w:bCs/>
                <w:szCs w:val="21"/>
              </w:rPr>
            </w:pPr>
            <w:r>
              <w:rPr>
                <w:rFonts w:hint="eastAsia"/>
                <w:bCs/>
                <w:spacing w:val="18"/>
                <w:szCs w:val="21"/>
              </w:rPr>
              <w:t>具备大专以</w:t>
            </w:r>
            <w:r>
              <w:rPr>
                <w:rFonts w:hint="eastAsia"/>
                <w:bCs/>
                <w:spacing w:val="12"/>
                <w:szCs w:val="21"/>
              </w:rPr>
              <w:t>上学历人数</w:t>
            </w:r>
          </w:p>
        </w:tc>
        <w:tc>
          <w:tcPr>
            <w:tcW w:w="1205" w:type="dxa"/>
            <w:gridSpan w:val="2"/>
            <w:tcBorders>
              <w:top w:val="nil"/>
            </w:tcBorders>
            <w:vAlign w:val="center"/>
          </w:tcPr>
          <w:p w14:paraId="5F54F0E4">
            <w:pPr>
              <w:widowControl/>
              <w:adjustRightInd w:val="0"/>
              <w:snapToGrid w:val="0"/>
              <w:ind w:left="-105" w:leftChars="-50" w:right="-105" w:rightChars="-50"/>
              <w:jc w:val="center"/>
              <w:rPr>
                <w:rFonts w:ascii="宋体" w:hAnsi="宋体" w:cs="宋体"/>
                <w:bCs/>
                <w:spacing w:val="16"/>
                <w:kern w:val="0"/>
                <w:szCs w:val="21"/>
              </w:rPr>
            </w:pPr>
          </w:p>
          <w:p w14:paraId="131E59A0">
            <w:pPr>
              <w:widowControl/>
              <w:adjustRightInd w:val="0"/>
              <w:snapToGrid w:val="0"/>
              <w:ind w:left="-105" w:leftChars="-50" w:right="-105" w:rightChars="-50"/>
              <w:jc w:val="center"/>
              <w:rPr>
                <w:rFonts w:ascii="宋体" w:hAnsi="宋体" w:cs="宋体"/>
                <w:bCs/>
                <w:spacing w:val="16"/>
                <w:kern w:val="0"/>
                <w:szCs w:val="21"/>
              </w:rPr>
            </w:pPr>
          </w:p>
          <w:p w14:paraId="0DDD3654">
            <w:pPr>
              <w:pStyle w:val="48"/>
              <w:shd w:val="clear" w:color="auto" w:fill="FFFFFF"/>
              <w:adjustRightInd w:val="0"/>
              <w:snapToGrid w:val="0"/>
              <w:ind w:left="-105" w:leftChars="-50" w:right="-105" w:rightChars="-50"/>
              <w:jc w:val="center"/>
              <w:rPr>
                <w:bCs/>
                <w:spacing w:val="16"/>
                <w:szCs w:val="21"/>
              </w:rPr>
            </w:pPr>
          </w:p>
        </w:tc>
        <w:tc>
          <w:tcPr>
            <w:tcW w:w="2001" w:type="dxa"/>
            <w:gridSpan w:val="3"/>
            <w:vAlign w:val="center"/>
          </w:tcPr>
          <w:p w14:paraId="5F21014C">
            <w:pPr>
              <w:pStyle w:val="48"/>
              <w:shd w:val="clear" w:color="auto" w:fill="FFFFFF"/>
              <w:adjustRightInd w:val="0"/>
              <w:snapToGrid w:val="0"/>
              <w:ind w:left="-105" w:leftChars="-50" w:right="-105" w:rightChars="-50"/>
              <w:jc w:val="center"/>
              <w:rPr>
                <w:bCs/>
                <w:spacing w:val="16"/>
                <w:szCs w:val="21"/>
              </w:rPr>
            </w:pPr>
            <w:r>
              <w:rPr>
                <w:rFonts w:hint="eastAsia"/>
                <w:bCs/>
                <w:spacing w:val="65"/>
                <w:szCs w:val="21"/>
              </w:rPr>
              <w:t>国家授予技</w:t>
            </w:r>
            <w:r>
              <w:rPr>
                <w:rFonts w:hint="eastAsia"/>
                <w:bCs/>
                <w:spacing w:val="12"/>
                <w:szCs w:val="21"/>
              </w:rPr>
              <w:t>术职称人数</w:t>
            </w:r>
          </w:p>
        </w:tc>
        <w:tc>
          <w:tcPr>
            <w:tcW w:w="2151" w:type="dxa"/>
            <w:gridSpan w:val="2"/>
            <w:vAlign w:val="center"/>
          </w:tcPr>
          <w:p w14:paraId="4D315BC7">
            <w:pPr>
              <w:widowControl/>
              <w:adjustRightInd w:val="0"/>
              <w:snapToGrid w:val="0"/>
              <w:ind w:left="-105" w:leftChars="-50" w:right="-105" w:rightChars="-50"/>
              <w:jc w:val="center"/>
              <w:rPr>
                <w:rFonts w:ascii="宋体" w:hAnsi="宋体" w:cs="宋体"/>
                <w:bCs/>
                <w:spacing w:val="16"/>
                <w:kern w:val="0"/>
                <w:szCs w:val="21"/>
              </w:rPr>
            </w:pPr>
          </w:p>
          <w:p w14:paraId="3FA6C028">
            <w:pPr>
              <w:pStyle w:val="48"/>
              <w:shd w:val="clear" w:color="auto" w:fill="FFFFFF"/>
              <w:adjustRightInd w:val="0"/>
              <w:snapToGrid w:val="0"/>
              <w:ind w:left="-105" w:leftChars="-50" w:right="-105" w:rightChars="-50"/>
              <w:jc w:val="center"/>
              <w:rPr>
                <w:bCs/>
                <w:spacing w:val="16"/>
                <w:szCs w:val="21"/>
              </w:rPr>
            </w:pPr>
          </w:p>
        </w:tc>
      </w:tr>
      <w:tr w14:paraId="5ABFE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trPr>
        <w:tc>
          <w:tcPr>
            <w:tcW w:w="682" w:type="dxa"/>
            <w:vMerge w:val="continue"/>
            <w:vAlign w:val="center"/>
          </w:tcPr>
          <w:p w14:paraId="1BDE712D">
            <w:pPr>
              <w:pStyle w:val="48"/>
              <w:shd w:val="clear" w:color="auto" w:fill="FFFFFF"/>
              <w:adjustRightInd w:val="0"/>
              <w:snapToGrid w:val="0"/>
              <w:ind w:left="-105" w:leftChars="-50" w:right="-105" w:rightChars="-50"/>
              <w:jc w:val="center"/>
              <w:rPr>
                <w:bCs/>
                <w:szCs w:val="21"/>
              </w:rPr>
            </w:pPr>
          </w:p>
        </w:tc>
        <w:tc>
          <w:tcPr>
            <w:tcW w:w="701" w:type="dxa"/>
            <w:vAlign w:val="center"/>
          </w:tcPr>
          <w:p w14:paraId="1AE41A01">
            <w:pPr>
              <w:pStyle w:val="48"/>
              <w:shd w:val="clear" w:color="auto" w:fill="FFFFFF"/>
              <w:adjustRightInd w:val="0"/>
              <w:snapToGrid w:val="0"/>
              <w:ind w:left="-105" w:leftChars="-50" w:right="-105" w:rightChars="-50"/>
              <w:jc w:val="center"/>
              <w:rPr>
                <w:bCs/>
                <w:szCs w:val="21"/>
              </w:rPr>
            </w:pPr>
            <w:r>
              <w:rPr>
                <w:rFonts w:hint="eastAsia"/>
                <w:bCs/>
                <w:spacing w:val="16"/>
                <w:szCs w:val="21"/>
              </w:rPr>
              <w:t>占地面积</w:t>
            </w:r>
          </w:p>
        </w:tc>
        <w:tc>
          <w:tcPr>
            <w:tcW w:w="910" w:type="dxa"/>
            <w:gridSpan w:val="2"/>
            <w:vAlign w:val="center"/>
          </w:tcPr>
          <w:p w14:paraId="25F3FB5F">
            <w:pPr>
              <w:pStyle w:val="48"/>
              <w:shd w:val="clear" w:color="auto" w:fill="FFFFFF"/>
              <w:adjustRightInd w:val="0"/>
              <w:snapToGrid w:val="0"/>
              <w:ind w:left="-105" w:leftChars="-50" w:right="-105" w:rightChars="-50"/>
              <w:jc w:val="center"/>
              <w:rPr>
                <w:bCs/>
                <w:szCs w:val="21"/>
              </w:rPr>
            </w:pPr>
          </w:p>
        </w:tc>
        <w:tc>
          <w:tcPr>
            <w:tcW w:w="1163" w:type="dxa"/>
            <w:vAlign w:val="center"/>
          </w:tcPr>
          <w:p w14:paraId="7BEB504D">
            <w:pPr>
              <w:pStyle w:val="48"/>
              <w:shd w:val="clear" w:color="auto" w:fill="FFFFFF"/>
              <w:adjustRightInd w:val="0"/>
              <w:snapToGrid w:val="0"/>
              <w:ind w:left="-105" w:leftChars="-50" w:right="-105" w:rightChars="-50"/>
              <w:jc w:val="center"/>
              <w:rPr>
                <w:bCs/>
                <w:szCs w:val="21"/>
              </w:rPr>
            </w:pPr>
            <w:r>
              <w:rPr>
                <w:rFonts w:hint="eastAsia"/>
                <w:bCs/>
                <w:spacing w:val="16"/>
                <w:szCs w:val="21"/>
              </w:rPr>
              <w:t>建筑面积</w:t>
            </w:r>
          </w:p>
        </w:tc>
        <w:tc>
          <w:tcPr>
            <w:tcW w:w="1205" w:type="dxa"/>
            <w:gridSpan w:val="2"/>
            <w:vAlign w:val="center"/>
          </w:tcPr>
          <w:p w14:paraId="7E1F0039">
            <w:pPr>
              <w:pStyle w:val="48"/>
              <w:shd w:val="clear" w:color="auto" w:fill="FFFFFF"/>
              <w:adjustRightInd w:val="0"/>
              <w:snapToGrid w:val="0"/>
              <w:ind w:left="-105" w:leftChars="-50" w:right="-105" w:rightChars="-50" w:firstLine="420"/>
              <w:jc w:val="center"/>
              <w:rPr>
                <w:bCs/>
                <w:szCs w:val="21"/>
              </w:rPr>
            </w:pPr>
            <w:r>
              <w:rPr>
                <w:rFonts w:hint="eastAsia"/>
                <w:bCs/>
                <w:szCs w:val="21"/>
              </w:rPr>
              <w:t>平方米</w:t>
            </w:r>
          </w:p>
          <w:p w14:paraId="0FDBBD63">
            <w:pPr>
              <w:pStyle w:val="48"/>
              <w:shd w:val="clear" w:color="auto" w:fill="FFFFFF"/>
              <w:adjustRightInd w:val="0"/>
              <w:snapToGrid w:val="0"/>
              <w:ind w:left="-105" w:leftChars="-50" w:right="-105" w:rightChars="-50"/>
              <w:jc w:val="center"/>
              <w:rPr>
                <w:bCs/>
                <w:szCs w:val="21"/>
              </w:rPr>
            </w:pPr>
            <w:r>
              <w:rPr>
                <w:rFonts w:hint="eastAsia"/>
                <w:bCs/>
                <w:spacing w:val="16"/>
                <w:szCs w:val="21"/>
              </w:rPr>
              <w:t>□自有□租賃</w:t>
            </w:r>
          </w:p>
        </w:tc>
        <w:tc>
          <w:tcPr>
            <w:tcW w:w="2001" w:type="dxa"/>
            <w:gridSpan w:val="3"/>
            <w:vAlign w:val="center"/>
          </w:tcPr>
          <w:p w14:paraId="0E01DDB9">
            <w:pPr>
              <w:pStyle w:val="48"/>
              <w:shd w:val="clear" w:color="auto" w:fill="FFFFFF"/>
              <w:adjustRightInd w:val="0"/>
              <w:snapToGrid w:val="0"/>
              <w:ind w:left="-105" w:leftChars="-50" w:right="-105" w:rightChars="-50"/>
              <w:jc w:val="center"/>
              <w:rPr>
                <w:bCs/>
                <w:szCs w:val="21"/>
              </w:rPr>
            </w:pPr>
            <w:r>
              <w:rPr>
                <w:rFonts w:hint="eastAsia"/>
                <w:bCs/>
                <w:spacing w:val="16"/>
                <w:szCs w:val="21"/>
              </w:rPr>
              <w:t>生产经营场所及场所的设施与设备</w:t>
            </w:r>
          </w:p>
        </w:tc>
        <w:tc>
          <w:tcPr>
            <w:tcW w:w="2151" w:type="dxa"/>
            <w:gridSpan w:val="2"/>
            <w:vAlign w:val="center"/>
          </w:tcPr>
          <w:p w14:paraId="6B60FD0A">
            <w:pPr>
              <w:pStyle w:val="48"/>
              <w:shd w:val="clear" w:color="auto" w:fill="FFFFFF"/>
              <w:adjustRightInd w:val="0"/>
              <w:snapToGrid w:val="0"/>
              <w:spacing w:before="0" w:beforeAutospacing="0" w:after="0" w:afterAutospacing="0"/>
              <w:ind w:left="-105" w:leftChars="-50" w:right="-105" w:rightChars="-50"/>
              <w:jc w:val="center"/>
              <w:rPr>
                <w:bCs/>
                <w:spacing w:val="16"/>
                <w:szCs w:val="21"/>
              </w:rPr>
            </w:pPr>
          </w:p>
        </w:tc>
      </w:tr>
      <w:tr w14:paraId="47FA0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682" w:type="dxa"/>
            <w:vMerge w:val="continue"/>
            <w:vAlign w:val="center"/>
          </w:tcPr>
          <w:p w14:paraId="6366BA88">
            <w:pPr>
              <w:pStyle w:val="48"/>
              <w:shd w:val="clear" w:color="auto" w:fill="FFFFFF"/>
              <w:adjustRightInd w:val="0"/>
              <w:snapToGrid w:val="0"/>
              <w:ind w:left="-105" w:leftChars="-50" w:right="-105" w:rightChars="-50"/>
              <w:jc w:val="center"/>
              <w:rPr>
                <w:bCs/>
                <w:szCs w:val="21"/>
              </w:rPr>
            </w:pPr>
          </w:p>
        </w:tc>
        <w:tc>
          <w:tcPr>
            <w:tcW w:w="701" w:type="dxa"/>
            <w:vAlign w:val="center"/>
          </w:tcPr>
          <w:p w14:paraId="326FB2F9">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注册资金</w:t>
            </w:r>
          </w:p>
        </w:tc>
        <w:tc>
          <w:tcPr>
            <w:tcW w:w="910" w:type="dxa"/>
            <w:gridSpan w:val="2"/>
            <w:vAlign w:val="center"/>
          </w:tcPr>
          <w:p w14:paraId="6131AF61">
            <w:pPr>
              <w:pStyle w:val="48"/>
              <w:shd w:val="clear" w:color="auto" w:fill="FFFFFF"/>
              <w:adjustRightInd w:val="0"/>
              <w:snapToGrid w:val="0"/>
              <w:ind w:left="-105" w:leftChars="-50" w:right="-105" w:rightChars="-50"/>
              <w:jc w:val="center"/>
              <w:rPr>
                <w:bCs/>
                <w:szCs w:val="21"/>
              </w:rPr>
            </w:pPr>
          </w:p>
        </w:tc>
        <w:tc>
          <w:tcPr>
            <w:tcW w:w="1163" w:type="dxa"/>
            <w:vAlign w:val="center"/>
          </w:tcPr>
          <w:p w14:paraId="28EE46A7">
            <w:pPr>
              <w:pStyle w:val="48"/>
              <w:shd w:val="clear" w:color="auto" w:fill="FFFFFF"/>
              <w:adjustRightInd w:val="0"/>
              <w:snapToGrid w:val="0"/>
              <w:ind w:left="-105" w:leftChars="-50" w:right="-105" w:rightChars="-50"/>
              <w:jc w:val="center"/>
              <w:rPr>
                <w:bCs/>
                <w:szCs w:val="21"/>
              </w:rPr>
            </w:pPr>
            <w:r>
              <w:rPr>
                <w:rFonts w:hint="eastAsia"/>
                <w:bCs/>
                <w:spacing w:val="16"/>
                <w:szCs w:val="21"/>
              </w:rPr>
              <w:t>注册发证</w:t>
            </w:r>
            <w:r>
              <w:rPr>
                <w:rFonts w:hint="eastAsia"/>
                <w:bCs/>
                <w:spacing w:val="27"/>
                <w:szCs w:val="21"/>
              </w:rPr>
              <w:t>机关</w:t>
            </w:r>
          </w:p>
        </w:tc>
        <w:tc>
          <w:tcPr>
            <w:tcW w:w="3206" w:type="dxa"/>
            <w:gridSpan w:val="5"/>
            <w:vAlign w:val="center"/>
          </w:tcPr>
          <w:p w14:paraId="6373BFE5">
            <w:pPr>
              <w:widowControl/>
              <w:adjustRightInd w:val="0"/>
              <w:snapToGrid w:val="0"/>
              <w:ind w:left="-105" w:leftChars="-50" w:right="-105" w:rightChars="-50"/>
              <w:jc w:val="center"/>
              <w:rPr>
                <w:rFonts w:ascii="宋体" w:hAnsi="宋体" w:cs="宋体"/>
                <w:bCs/>
                <w:kern w:val="0"/>
                <w:szCs w:val="21"/>
              </w:rPr>
            </w:pPr>
          </w:p>
          <w:p w14:paraId="1C7849C8">
            <w:pPr>
              <w:pStyle w:val="48"/>
              <w:shd w:val="clear" w:color="auto" w:fill="FFFFFF"/>
              <w:adjustRightInd w:val="0"/>
              <w:snapToGrid w:val="0"/>
              <w:ind w:left="-105" w:leftChars="-50" w:right="-105" w:rightChars="-50"/>
              <w:jc w:val="center"/>
              <w:rPr>
                <w:bCs/>
                <w:szCs w:val="21"/>
              </w:rPr>
            </w:pPr>
          </w:p>
        </w:tc>
        <w:tc>
          <w:tcPr>
            <w:tcW w:w="1218" w:type="dxa"/>
            <w:vAlign w:val="center"/>
          </w:tcPr>
          <w:p w14:paraId="48A802F2">
            <w:pPr>
              <w:pStyle w:val="48"/>
              <w:shd w:val="clear" w:color="auto" w:fill="FFFFFF"/>
              <w:adjustRightInd w:val="0"/>
              <w:snapToGrid w:val="0"/>
              <w:ind w:left="-105" w:leftChars="-50" w:right="-105" w:rightChars="-50"/>
              <w:jc w:val="center"/>
              <w:rPr>
                <w:bCs/>
                <w:szCs w:val="21"/>
              </w:rPr>
            </w:pPr>
            <w:r>
              <w:rPr>
                <w:rFonts w:hint="eastAsia"/>
                <w:bCs/>
                <w:szCs w:val="21"/>
              </w:rPr>
              <w:t>公司成</w:t>
            </w:r>
            <w:r>
              <w:rPr>
                <w:rFonts w:hint="eastAsia"/>
                <w:bCs/>
                <w:spacing w:val="12"/>
                <w:szCs w:val="21"/>
              </w:rPr>
              <w:t>立时间</w:t>
            </w:r>
          </w:p>
        </w:tc>
        <w:tc>
          <w:tcPr>
            <w:tcW w:w="933" w:type="dxa"/>
            <w:vAlign w:val="center"/>
          </w:tcPr>
          <w:p w14:paraId="350B397F">
            <w:pPr>
              <w:pStyle w:val="48"/>
              <w:shd w:val="clear" w:color="auto" w:fill="FFFFFF"/>
              <w:adjustRightInd w:val="0"/>
              <w:snapToGrid w:val="0"/>
              <w:ind w:left="-105" w:leftChars="-50" w:right="-105" w:rightChars="-50"/>
              <w:jc w:val="center"/>
              <w:rPr>
                <w:bCs/>
                <w:szCs w:val="21"/>
              </w:rPr>
            </w:pPr>
          </w:p>
        </w:tc>
      </w:tr>
      <w:tr w14:paraId="72E46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82" w:type="dxa"/>
            <w:vMerge w:val="continue"/>
            <w:vAlign w:val="center"/>
          </w:tcPr>
          <w:p w14:paraId="5EB0D89B">
            <w:pPr>
              <w:pStyle w:val="48"/>
              <w:shd w:val="clear" w:color="auto" w:fill="FFFFFF"/>
              <w:adjustRightInd w:val="0"/>
              <w:snapToGrid w:val="0"/>
              <w:ind w:left="-105" w:leftChars="-50" w:right="-105" w:rightChars="-50"/>
              <w:jc w:val="center"/>
              <w:rPr>
                <w:bCs/>
                <w:szCs w:val="21"/>
              </w:rPr>
            </w:pPr>
          </w:p>
        </w:tc>
        <w:tc>
          <w:tcPr>
            <w:tcW w:w="701" w:type="dxa"/>
            <w:vAlign w:val="center"/>
          </w:tcPr>
          <w:p w14:paraId="0FAE2624">
            <w:pPr>
              <w:pStyle w:val="48"/>
              <w:shd w:val="clear" w:color="auto" w:fill="FFFFFF"/>
              <w:adjustRightInd w:val="0"/>
              <w:snapToGrid w:val="0"/>
              <w:ind w:left="-105" w:leftChars="-50" w:right="-105" w:rightChars="-50"/>
              <w:jc w:val="center"/>
              <w:rPr>
                <w:bCs/>
                <w:szCs w:val="21"/>
              </w:rPr>
            </w:pPr>
            <w:r>
              <w:rPr>
                <w:rFonts w:hint="eastAsia"/>
                <w:bCs/>
                <w:szCs w:val="21"/>
              </w:rPr>
              <w:t>核准经营范围</w:t>
            </w:r>
          </w:p>
        </w:tc>
        <w:tc>
          <w:tcPr>
            <w:tcW w:w="7430" w:type="dxa"/>
            <w:gridSpan w:val="10"/>
            <w:vAlign w:val="center"/>
          </w:tcPr>
          <w:p w14:paraId="5C951312">
            <w:pPr>
              <w:pStyle w:val="48"/>
              <w:shd w:val="clear" w:color="auto" w:fill="FFFFFF"/>
              <w:adjustRightInd w:val="0"/>
              <w:snapToGrid w:val="0"/>
              <w:ind w:left="-105" w:leftChars="-50" w:right="-105" w:rightChars="-50"/>
              <w:jc w:val="center"/>
              <w:rPr>
                <w:bCs/>
                <w:szCs w:val="21"/>
              </w:rPr>
            </w:pPr>
          </w:p>
        </w:tc>
      </w:tr>
      <w:tr w14:paraId="3C3F7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682" w:type="dxa"/>
            <w:vMerge w:val="continue"/>
            <w:vAlign w:val="center"/>
          </w:tcPr>
          <w:p w14:paraId="56A6742C">
            <w:pPr>
              <w:pStyle w:val="48"/>
              <w:shd w:val="clear" w:color="auto" w:fill="FFFFFF"/>
              <w:adjustRightInd w:val="0"/>
              <w:snapToGrid w:val="0"/>
              <w:ind w:left="-105" w:leftChars="-50" w:right="-105" w:rightChars="-50"/>
              <w:jc w:val="center"/>
              <w:rPr>
                <w:bCs/>
                <w:szCs w:val="21"/>
              </w:rPr>
            </w:pPr>
          </w:p>
        </w:tc>
        <w:tc>
          <w:tcPr>
            <w:tcW w:w="8131" w:type="dxa"/>
            <w:gridSpan w:val="11"/>
            <w:vAlign w:val="center"/>
          </w:tcPr>
          <w:p w14:paraId="50E912D0">
            <w:pPr>
              <w:pStyle w:val="48"/>
              <w:shd w:val="clear" w:color="auto" w:fill="FFFFFF"/>
              <w:adjustRightInd w:val="0"/>
              <w:snapToGrid w:val="0"/>
              <w:ind w:left="-105" w:leftChars="-50" w:right="-105" w:rightChars="-50"/>
              <w:rPr>
                <w:bCs/>
                <w:spacing w:val="13"/>
                <w:szCs w:val="21"/>
              </w:rPr>
            </w:pPr>
            <w:r>
              <w:rPr>
                <w:rFonts w:hint="eastAsia"/>
                <w:bCs/>
                <w:spacing w:val="13"/>
                <w:szCs w:val="21"/>
              </w:rPr>
              <w:t>发展历程及主要荣誉：</w:t>
            </w:r>
          </w:p>
        </w:tc>
      </w:tr>
      <w:tr w14:paraId="6317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82" w:type="dxa"/>
            <w:vMerge w:val="restart"/>
            <w:vAlign w:val="center"/>
          </w:tcPr>
          <w:p w14:paraId="5CC1104D">
            <w:pPr>
              <w:pStyle w:val="48"/>
              <w:shd w:val="clear" w:color="auto" w:fill="FFFFFF"/>
              <w:adjustRightInd w:val="0"/>
              <w:snapToGrid w:val="0"/>
              <w:ind w:left="-105" w:leftChars="-50" w:right="-105" w:rightChars="-50"/>
              <w:jc w:val="center"/>
              <w:rPr>
                <w:bCs/>
                <w:szCs w:val="21"/>
              </w:rPr>
            </w:pPr>
            <w:r>
              <w:rPr>
                <w:bCs/>
                <w:szCs w:val="21"/>
              </w:rPr>
              <w:t>2</w:t>
            </w:r>
            <w:r>
              <w:rPr>
                <w:rFonts w:hint="eastAsia"/>
                <w:bCs/>
                <w:szCs w:val="21"/>
              </w:rPr>
              <w:t>．</w:t>
            </w:r>
          </w:p>
          <w:p w14:paraId="5F342520">
            <w:pPr>
              <w:pStyle w:val="48"/>
              <w:shd w:val="clear" w:color="auto" w:fill="FFFFFF"/>
              <w:adjustRightInd w:val="0"/>
              <w:snapToGrid w:val="0"/>
              <w:ind w:left="-105" w:leftChars="-50" w:right="-105" w:rightChars="-50"/>
              <w:jc w:val="center"/>
              <w:rPr>
                <w:bCs/>
                <w:spacing w:val="16"/>
                <w:szCs w:val="21"/>
              </w:rPr>
            </w:pPr>
            <w:r>
              <w:rPr>
                <w:rFonts w:hint="eastAsia"/>
                <w:bCs/>
                <w:szCs w:val="21"/>
              </w:rPr>
              <w:t>企</w:t>
            </w:r>
            <w:r>
              <w:rPr>
                <w:rFonts w:hint="eastAsia"/>
                <w:bCs/>
                <w:spacing w:val="12"/>
                <w:szCs w:val="21"/>
              </w:rPr>
              <w:t>业有关资质获证情况</w:t>
            </w:r>
          </w:p>
        </w:tc>
        <w:tc>
          <w:tcPr>
            <w:tcW w:w="1553" w:type="dxa"/>
            <w:gridSpan w:val="2"/>
            <w:vMerge w:val="restart"/>
            <w:vAlign w:val="center"/>
          </w:tcPr>
          <w:p w14:paraId="1FDFF868">
            <w:pPr>
              <w:pStyle w:val="48"/>
              <w:shd w:val="clear" w:color="auto" w:fill="FFFFFF"/>
              <w:adjustRightInd w:val="0"/>
              <w:snapToGrid w:val="0"/>
              <w:spacing w:before="0" w:beforeAutospacing="0" w:after="0" w:afterAutospacing="0"/>
              <w:ind w:left="-105" w:leftChars="-50" w:right="-105" w:rightChars="-50"/>
              <w:jc w:val="center"/>
              <w:rPr>
                <w:bCs/>
                <w:spacing w:val="16"/>
                <w:szCs w:val="21"/>
              </w:rPr>
            </w:pPr>
            <w:r>
              <w:rPr>
                <w:rFonts w:hint="eastAsia"/>
                <w:bCs/>
                <w:spacing w:val="12"/>
                <w:szCs w:val="21"/>
              </w:rPr>
              <w:t>产品生产许可证情况</w:t>
            </w:r>
            <w:r>
              <w:rPr>
                <w:rFonts w:hint="eastAsia"/>
                <w:bCs/>
                <w:spacing w:val="41"/>
                <w:szCs w:val="21"/>
              </w:rPr>
              <w:t>（对需获得生产许可证的</w:t>
            </w:r>
            <w:r>
              <w:rPr>
                <w:rFonts w:hint="eastAsia"/>
                <w:bCs/>
                <w:spacing w:val="11"/>
                <w:szCs w:val="21"/>
              </w:rPr>
              <w:t>产品要填写此栏）</w:t>
            </w:r>
          </w:p>
        </w:tc>
        <w:tc>
          <w:tcPr>
            <w:tcW w:w="1333" w:type="dxa"/>
            <w:gridSpan w:val="3"/>
            <w:vAlign w:val="center"/>
          </w:tcPr>
          <w:p w14:paraId="056836D4">
            <w:pPr>
              <w:pStyle w:val="48"/>
              <w:shd w:val="clear" w:color="auto" w:fill="FFFFFF"/>
              <w:adjustRightInd w:val="0"/>
              <w:snapToGrid w:val="0"/>
              <w:ind w:left="-105" w:leftChars="-50" w:right="-105" w:rightChars="-50"/>
              <w:jc w:val="center"/>
              <w:rPr>
                <w:bCs/>
                <w:spacing w:val="16"/>
                <w:szCs w:val="21"/>
              </w:rPr>
            </w:pPr>
            <w:r>
              <w:rPr>
                <w:rFonts w:hint="eastAsia"/>
                <w:bCs/>
                <w:spacing w:val="16"/>
                <w:szCs w:val="21"/>
              </w:rPr>
              <w:t>产品名称</w:t>
            </w:r>
          </w:p>
        </w:tc>
        <w:tc>
          <w:tcPr>
            <w:tcW w:w="1418" w:type="dxa"/>
            <w:gridSpan w:val="2"/>
            <w:vAlign w:val="center"/>
          </w:tcPr>
          <w:p w14:paraId="2426D50B">
            <w:pPr>
              <w:pStyle w:val="48"/>
              <w:shd w:val="clear" w:color="auto" w:fill="FFFFFF"/>
              <w:adjustRightInd w:val="0"/>
              <w:snapToGrid w:val="0"/>
              <w:spacing w:before="0" w:beforeAutospacing="0" w:after="0" w:afterAutospacing="0"/>
              <w:ind w:left="-105" w:leftChars="-50" w:right="-105" w:rightChars="-50"/>
              <w:jc w:val="center"/>
              <w:rPr>
                <w:bCs/>
                <w:szCs w:val="21"/>
              </w:rPr>
            </w:pPr>
            <w:r>
              <w:rPr>
                <w:rFonts w:hint="eastAsia"/>
                <w:bCs/>
                <w:spacing w:val="16"/>
                <w:szCs w:val="21"/>
              </w:rPr>
              <w:t>发证机关</w:t>
            </w:r>
          </w:p>
        </w:tc>
        <w:tc>
          <w:tcPr>
            <w:tcW w:w="1276" w:type="dxa"/>
            <w:vAlign w:val="center"/>
          </w:tcPr>
          <w:p w14:paraId="69E082EB">
            <w:pPr>
              <w:pStyle w:val="48"/>
              <w:shd w:val="clear" w:color="auto" w:fill="FFFFFF"/>
              <w:adjustRightInd w:val="0"/>
              <w:snapToGrid w:val="0"/>
              <w:ind w:left="-105" w:leftChars="-50" w:right="-105" w:rightChars="-50"/>
              <w:jc w:val="center"/>
              <w:rPr>
                <w:bCs/>
                <w:szCs w:val="21"/>
              </w:rPr>
            </w:pPr>
            <w:r>
              <w:rPr>
                <w:rFonts w:hint="eastAsia"/>
                <w:bCs/>
                <w:spacing w:val="27"/>
                <w:szCs w:val="21"/>
              </w:rPr>
              <w:t>编号</w:t>
            </w:r>
          </w:p>
        </w:tc>
        <w:tc>
          <w:tcPr>
            <w:tcW w:w="1618" w:type="dxa"/>
            <w:gridSpan w:val="2"/>
            <w:vAlign w:val="center"/>
          </w:tcPr>
          <w:p w14:paraId="089C3DEA">
            <w:pPr>
              <w:pStyle w:val="48"/>
              <w:shd w:val="clear" w:color="auto" w:fill="FFFFFF"/>
              <w:adjustRightInd w:val="0"/>
              <w:snapToGrid w:val="0"/>
              <w:ind w:left="-105" w:leftChars="-50" w:right="-105" w:rightChars="-50"/>
              <w:jc w:val="center"/>
              <w:rPr>
                <w:bCs/>
                <w:szCs w:val="21"/>
              </w:rPr>
            </w:pPr>
            <w:r>
              <w:rPr>
                <w:rFonts w:hint="eastAsia"/>
                <w:bCs/>
                <w:spacing w:val="16"/>
                <w:szCs w:val="21"/>
              </w:rPr>
              <w:t>发证时间</w:t>
            </w:r>
          </w:p>
        </w:tc>
        <w:tc>
          <w:tcPr>
            <w:tcW w:w="933" w:type="dxa"/>
            <w:vAlign w:val="center"/>
          </w:tcPr>
          <w:p w14:paraId="02D40254">
            <w:pPr>
              <w:pStyle w:val="48"/>
              <w:shd w:val="clear" w:color="auto" w:fill="FFFFFF"/>
              <w:adjustRightInd w:val="0"/>
              <w:snapToGrid w:val="0"/>
              <w:spacing w:before="0" w:beforeAutospacing="0" w:after="0" w:afterAutospacing="0"/>
              <w:ind w:left="-105" w:leftChars="-50" w:right="-105" w:rightChars="-50"/>
              <w:jc w:val="center"/>
              <w:rPr>
                <w:bCs/>
                <w:szCs w:val="21"/>
              </w:rPr>
            </w:pPr>
            <w:r>
              <w:rPr>
                <w:rFonts w:hint="eastAsia"/>
                <w:bCs/>
                <w:spacing w:val="27"/>
                <w:szCs w:val="21"/>
              </w:rPr>
              <w:t>期限</w:t>
            </w:r>
          </w:p>
        </w:tc>
      </w:tr>
      <w:tr w14:paraId="1FF93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682" w:type="dxa"/>
            <w:vMerge w:val="continue"/>
            <w:vAlign w:val="center"/>
          </w:tcPr>
          <w:p w14:paraId="35F5A704">
            <w:pPr>
              <w:pStyle w:val="48"/>
              <w:shd w:val="clear" w:color="auto" w:fill="FFFFFF"/>
              <w:adjustRightInd w:val="0"/>
              <w:snapToGrid w:val="0"/>
              <w:ind w:left="-105" w:leftChars="-50" w:right="-105" w:rightChars="-50"/>
              <w:jc w:val="center"/>
              <w:rPr>
                <w:bCs/>
                <w:szCs w:val="21"/>
              </w:rPr>
            </w:pPr>
          </w:p>
        </w:tc>
        <w:tc>
          <w:tcPr>
            <w:tcW w:w="1553" w:type="dxa"/>
            <w:gridSpan w:val="2"/>
            <w:vMerge w:val="continue"/>
            <w:vAlign w:val="center"/>
          </w:tcPr>
          <w:p w14:paraId="1599B864">
            <w:pPr>
              <w:pStyle w:val="48"/>
              <w:shd w:val="clear" w:color="auto" w:fill="FFFFFF"/>
              <w:adjustRightInd w:val="0"/>
              <w:snapToGrid w:val="0"/>
              <w:ind w:left="-105" w:leftChars="-50" w:right="-105" w:rightChars="-50"/>
              <w:jc w:val="center"/>
              <w:rPr>
                <w:bCs/>
                <w:szCs w:val="21"/>
              </w:rPr>
            </w:pPr>
          </w:p>
        </w:tc>
        <w:tc>
          <w:tcPr>
            <w:tcW w:w="1333" w:type="dxa"/>
            <w:gridSpan w:val="3"/>
            <w:vAlign w:val="center"/>
          </w:tcPr>
          <w:p w14:paraId="234BE193">
            <w:pPr>
              <w:pStyle w:val="48"/>
              <w:shd w:val="clear" w:color="auto" w:fill="FFFFFF"/>
              <w:adjustRightInd w:val="0"/>
              <w:snapToGrid w:val="0"/>
              <w:ind w:left="-105" w:leftChars="-50" w:right="-105" w:rightChars="-50"/>
              <w:jc w:val="center"/>
              <w:rPr>
                <w:bCs/>
                <w:szCs w:val="21"/>
              </w:rPr>
            </w:pPr>
          </w:p>
        </w:tc>
        <w:tc>
          <w:tcPr>
            <w:tcW w:w="1418" w:type="dxa"/>
            <w:gridSpan w:val="2"/>
            <w:vAlign w:val="center"/>
          </w:tcPr>
          <w:p w14:paraId="2AF5321E">
            <w:pPr>
              <w:pStyle w:val="48"/>
              <w:shd w:val="clear" w:color="auto" w:fill="FFFFFF"/>
              <w:adjustRightInd w:val="0"/>
              <w:snapToGrid w:val="0"/>
              <w:ind w:left="-105" w:leftChars="-50" w:right="-105" w:rightChars="-50"/>
              <w:jc w:val="center"/>
              <w:rPr>
                <w:bCs/>
                <w:szCs w:val="21"/>
              </w:rPr>
            </w:pPr>
          </w:p>
        </w:tc>
        <w:tc>
          <w:tcPr>
            <w:tcW w:w="1276" w:type="dxa"/>
            <w:vAlign w:val="center"/>
          </w:tcPr>
          <w:p w14:paraId="435ED632">
            <w:pPr>
              <w:pStyle w:val="48"/>
              <w:shd w:val="clear" w:color="auto" w:fill="FFFFFF"/>
              <w:adjustRightInd w:val="0"/>
              <w:snapToGrid w:val="0"/>
              <w:ind w:left="-105" w:leftChars="-50" w:right="-105" w:rightChars="-50"/>
              <w:jc w:val="center"/>
              <w:rPr>
                <w:bCs/>
                <w:szCs w:val="21"/>
              </w:rPr>
            </w:pPr>
          </w:p>
        </w:tc>
        <w:tc>
          <w:tcPr>
            <w:tcW w:w="2551" w:type="dxa"/>
            <w:gridSpan w:val="3"/>
            <w:vAlign w:val="center"/>
          </w:tcPr>
          <w:p w14:paraId="3427B68D">
            <w:pPr>
              <w:pStyle w:val="48"/>
              <w:shd w:val="clear" w:color="auto" w:fill="FFFFFF"/>
              <w:adjustRightInd w:val="0"/>
              <w:snapToGrid w:val="0"/>
              <w:ind w:left="-105" w:leftChars="-50" w:right="-105" w:rightChars="-50"/>
              <w:jc w:val="center"/>
              <w:rPr>
                <w:bCs/>
                <w:szCs w:val="21"/>
              </w:rPr>
            </w:pPr>
          </w:p>
        </w:tc>
      </w:tr>
      <w:tr w14:paraId="567A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682" w:type="dxa"/>
            <w:vMerge w:val="continue"/>
            <w:vAlign w:val="center"/>
          </w:tcPr>
          <w:p w14:paraId="60C3AEBE">
            <w:pPr>
              <w:pStyle w:val="48"/>
              <w:shd w:val="clear" w:color="auto" w:fill="FFFFFF"/>
              <w:adjustRightInd w:val="0"/>
              <w:snapToGrid w:val="0"/>
              <w:ind w:left="-105" w:leftChars="-50" w:right="-105" w:rightChars="-50"/>
              <w:jc w:val="center"/>
              <w:rPr>
                <w:bCs/>
                <w:spacing w:val="16"/>
                <w:szCs w:val="21"/>
              </w:rPr>
            </w:pPr>
          </w:p>
        </w:tc>
        <w:tc>
          <w:tcPr>
            <w:tcW w:w="1553" w:type="dxa"/>
            <w:gridSpan w:val="2"/>
            <w:vAlign w:val="center"/>
          </w:tcPr>
          <w:p w14:paraId="27467FA6">
            <w:pPr>
              <w:pStyle w:val="48"/>
              <w:shd w:val="clear" w:color="auto" w:fill="FFFFFF"/>
              <w:adjustRightInd w:val="0"/>
              <w:snapToGrid w:val="0"/>
              <w:spacing w:before="0" w:beforeAutospacing="0" w:after="0" w:afterAutospacing="0"/>
              <w:ind w:left="-105" w:leftChars="-50" w:right="-105" w:rightChars="-50"/>
              <w:jc w:val="center"/>
              <w:rPr>
                <w:bCs/>
                <w:spacing w:val="41"/>
                <w:szCs w:val="21"/>
              </w:rPr>
            </w:pPr>
            <w:r>
              <w:rPr>
                <w:rFonts w:hint="eastAsia"/>
                <w:bCs/>
                <w:spacing w:val="41"/>
                <w:szCs w:val="21"/>
              </w:rPr>
              <w:t>企业通过质量体系、环保</w:t>
            </w:r>
            <w:r>
              <w:rPr>
                <w:rFonts w:hint="eastAsia"/>
                <w:bCs/>
                <w:spacing w:val="11"/>
                <w:szCs w:val="21"/>
              </w:rPr>
              <w:t>体系、计量等认证情况</w:t>
            </w:r>
          </w:p>
        </w:tc>
        <w:tc>
          <w:tcPr>
            <w:tcW w:w="6578" w:type="dxa"/>
            <w:gridSpan w:val="9"/>
            <w:vAlign w:val="center"/>
          </w:tcPr>
          <w:p w14:paraId="04590F34">
            <w:pPr>
              <w:pStyle w:val="48"/>
              <w:shd w:val="clear" w:color="auto" w:fill="FFFFFF"/>
              <w:adjustRightInd w:val="0"/>
              <w:snapToGrid w:val="0"/>
              <w:ind w:left="-105" w:leftChars="-50" w:right="-105" w:rightChars="-50"/>
              <w:jc w:val="center"/>
              <w:rPr>
                <w:bCs/>
                <w:spacing w:val="16"/>
                <w:szCs w:val="21"/>
              </w:rPr>
            </w:pPr>
          </w:p>
        </w:tc>
      </w:tr>
      <w:tr w14:paraId="7EA28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682" w:type="dxa"/>
            <w:vMerge w:val="continue"/>
            <w:vAlign w:val="center"/>
          </w:tcPr>
          <w:p w14:paraId="5E093634">
            <w:pPr>
              <w:pStyle w:val="48"/>
              <w:shd w:val="clear" w:color="auto" w:fill="FFFFFF"/>
              <w:adjustRightInd w:val="0"/>
              <w:snapToGrid w:val="0"/>
              <w:ind w:left="-105" w:leftChars="-50" w:right="-105" w:rightChars="-50"/>
              <w:jc w:val="center"/>
              <w:rPr>
                <w:bCs/>
                <w:spacing w:val="27"/>
                <w:szCs w:val="21"/>
              </w:rPr>
            </w:pPr>
          </w:p>
        </w:tc>
        <w:tc>
          <w:tcPr>
            <w:tcW w:w="1553" w:type="dxa"/>
            <w:gridSpan w:val="2"/>
            <w:vAlign w:val="center"/>
          </w:tcPr>
          <w:p w14:paraId="5BFB06A6">
            <w:pPr>
              <w:pStyle w:val="48"/>
              <w:shd w:val="clear" w:color="auto" w:fill="FFFFFF"/>
              <w:adjustRightInd w:val="0"/>
              <w:snapToGrid w:val="0"/>
              <w:ind w:left="-105" w:leftChars="-50" w:right="-105" w:rightChars="-50"/>
              <w:jc w:val="center"/>
              <w:rPr>
                <w:bCs/>
                <w:spacing w:val="16"/>
                <w:szCs w:val="21"/>
              </w:rPr>
            </w:pPr>
            <w:r>
              <w:rPr>
                <w:rFonts w:hint="eastAsia"/>
                <w:bCs/>
                <w:spacing w:val="10"/>
                <w:szCs w:val="21"/>
              </w:rPr>
              <w:t>企业获得专利情况</w:t>
            </w:r>
          </w:p>
        </w:tc>
        <w:tc>
          <w:tcPr>
            <w:tcW w:w="6578" w:type="dxa"/>
            <w:gridSpan w:val="9"/>
            <w:vAlign w:val="center"/>
          </w:tcPr>
          <w:p w14:paraId="07171EF8">
            <w:pPr>
              <w:pStyle w:val="48"/>
              <w:shd w:val="clear" w:color="auto" w:fill="FFFFFF"/>
              <w:adjustRightInd w:val="0"/>
              <w:snapToGrid w:val="0"/>
              <w:ind w:left="-105" w:leftChars="-50" w:right="-105" w:rightChars="-50"/>
              <w:jc w:val="center"/>
              <w:rPr>
                <w:bCs/>
                <w:spacing w:val="16"/>
                <w:szCs w:val="21"/>
              </w:rPr>
            </w:pPr>
          </w:p>
        </w:tc>
      </w:tr>
    </w:tbl>
    <w:p w14:paraId="48F4D80C">
      <w:pPr>
        <w:pStyle w:val="49"/>
        <w:tabs>
          <w:tab w:val="left" w:pos="1050"/>
        </w:tabs>
        <w:spacing w:line="360" w:lineRule="auto"/>
        <w:ind w:firstLine="422"/>
        <w:rPr>
          <w:rFonts w:ascii="宋体" w:hAnsi="宋体"/>
          <w:szCs w:val="21"/>
        </w:rPr>
      </w:pPr>
      <w:r>
        <w:rPr>
          <w:rFonts w:hint="eastAsia" w:ascii="宋体" w:hAnsi="宋体"/>
          <w:b/>
          <w:szCs w:val="21"/>
        </w:rPr>
        <w:t>要求：</w:t>
      </w:r>
    </w:p>
    <w:p w14:paraId="3394FE07">
      <w:pPr>
        <w:pStyle w:val="49"/>
        <w:tabs>
          <w:tab w:val="left" w:pos="1050"/>
        </w:tabs>
        <w:spacing w:line="360" w:lineRule="auto"/>
        <w:ind w:firstLine="424" w:firstLineChars="202"/>
        <w:rPr>
          <w:rFonts w:ascii="宋体" w:hAnsi="宋体"/>
          <w:szCs w:val="21"/>
        </w:rPr>
      </w:pPr>
      <w:r>
        <w:rPr>
          <w:rFonts w:hint="eastAsia" w:ascii="宋体" w:hAnsi="宋体"/>
          <w:szCs w:val="21"/>
        </w:rPr>
        <w:t>1.在填写时，如本表格不适合响应单位的实际情况，可根据本表格式自行划表填写。</w:t>
      </w:r>
    </w:p>
    <w:p w14:paraId="469BDC10">
      <w:pPr>
        <w:pStyle w:val="49"/>
        <w:tabs>
          <w:tab w:val="left" w:pos="1050"/>
        </w:tabs>
        <w:spacing w:line="360" w:lineRule="auto"/>
        <w:ind w:firstLine="424" w:firstLineChars="202"/>
        <w:rPr>
          <w:rFonts w:ascii="宋体" w:hAnsi="宋体"/>
          <w:szCs w:val="21"/>
        </w:rPr>
      </w:pPr>
      <w:r>
        <w:rPr>
          <w:rFonts w:hint="eastAsia" w:ascii="宋体" w:hAnsi="宋体"/>
          <w:szCs w:val="21"/>
        </w:rPr>
        <w:t>2.本页需加盖供应商公章。</w:t>
      </w:r>
    </w:p>
    <w:p w14:paraId="4F3B855D">
      <w:pPr>
        <w:spacing w:line="320" w:lineRule="exact"/>
        <w:rPr>
          <w:rFonts w:ascii="宋体" w:hAnsi="宋体"/>
          <w:b/>
          <w:sz w:val="28"/>
          <w:szCs w:val="28"/>
        </w:rPr>
      </w:pPr>
      <w:r>
        <w:rPr>
          <w:rFonts w:hint="eastAsia" w:ascii="宋体" w:hAnsi="宋体"/>
          <w:b/>
          <w:sz w:val="28"/>
          <w:szCs w:val="28"/>
        </w:rPr>
        <w:t>附件8</w:t>
      </w:r>
    </w:p>
    <w:p w14:paraId="0A2A34D2">
      <w:pPr>
        <w:snapToGrid w:val="0"/>
        <w:spacing w:before="50" w:after="50"/>
        <w:rPr>
          <w:rFonts w:ascii="宋体" w:hAnsi="宋体"/>
          <w:b/>
          <w:sz w:val="28"/>
          <w:szCs w:val="28"/>
        </w:rPr>
      </w:pPr>
    </w:p>
    <w:p w14:paraId="28B202C9">
      <w:pPr>
        <w:spacing w:line="360" w:lineRule="auto"/>
        <w:ind w:left="549" w:hanging="549" w:hangingChars="171"/>
        <w:jc w:val="center"/>
        <w:rPr>
          <w:rFonts w:ascii="宋体" w:hAnsi="宋体"/>
          <w:b/>
          <w:sz w:val="32"/>
          <w:szCs w:val="32"/>
        </w:rPr>
      </w:pPr>
      <w:r>
        <w:rPr>
          <w:rFonts w:hint="eastAsia" w:ascii="宋体" w:hAnsi="宋体"/>
          <w:b/>
          <w:sz w:val="32"/>
          <w:szCs w:val="32"/>
        </w:rPr>
        <w:t>商务及技术需求响应表</w:t>
      </w:r>
    </w:p>
    <w:tbl>
      <w:tblPr>
        <w:tblStyle w:val="30"/>
        <w:tblW w:w="8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92"/>
        <w:gridCol w:w="2178"/>
        <w:gridCol w:w="1365"/>
        <w:gridCol w:w="2625"/>
      </w:tblGrid>
      <w:tr w14:paraId="27A9A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trPr>
        <w:tc>
          <w:tcPr>
            <w:tcW w:w="735" w:type="dxa"/>
            <w:vAlign w:val="center"/>
          </w:tcPr>
          <w:p w14:paraId="14273CAF">
            <w:pPr>
              <w:spacing w:line="360" w:lineRule="auto"/>
              <w:rPr>
                <w:rFonts w:ascii="宋体" w:hAnsi="宋体"/>
                <w:b/>
              </w:rPr>
            </w:pPr>
            <w:r>
              <w:rPr>
                <w:rFonts w:hint="eastAsia" w:ascii="宋体" w:hAnsi="宋体"/>
                <w:b/>
              </w:rPr>
              <w:t>序号</w:t>
            </w:r>
          </w:p>
        </w:tc>
        <w:tc>
          <w:tcPr>
            <w:tcW w:w="1392" w:type="dxa"/>
            <w:vAlign w:val="center"/>
          </w:tcPr>
          <w:p w14:paraId="614C9443">
            <w:pPr>
              <w:spacing w:line="360" w:lineRule="auto"/>
              <w:rPr>
                <w:rFonts w:ascii="宋体" w:hAnsi="宋体"/>
                <w:b/>
              </w:rPr>
            </w:pPr>
            <w:r>
              <w:rPr>
                <w:rFonts w:hint="eastAsia" w:ascii="宋体" w:hAnsi="宋体"/>
                <w:b/>
              </w:rPr>
              <w:t xml:space="preserve">   内容</w:t>
            </w:r>
          </w:p>
        </w:tc>
        <w:tc>
          <w:tcPr>
            <w:tcW w:w="2178" w:type="dxa"/>
            <w:vAlign w:val="center"/>
          </w:tcPr>
          <w:p w14:paraId="12E4D121">
            <w:pPr>
              <w:spacing w:line="360" w:lineRule="auto"/>
              <w:ind w:left="53" w:leftChars="25" w:firstLine="211" w:firstLineChars="100"/>
              <w:rPr>
                <w:rFonts w:ascii="宋体" w:hAnsi="宋体"/>
                <w:b/>
              </w:rPr>
            </w:pPr>
            <w:r>
              <w:rPr>
                <w:rFonts w:hint="eastAsia" w:ascii="宋体" w:hAnsi="宋体"/>
                <w:b/>
              </w:rPr>
              <w:t>磋商需求</w:t>
            </w:r>
          </w:p>
        </w:tc>
        <w:tc>
          <w:tcPr>
            <w:tcW w:w="1365" w:type="dxa"/>
            <w:vAlign w:val="center"/>
          </w:tcPr>
          <w:p w14:paraId="4B524322">
            <w:pPr>
              <w:spacing w:line="360" w:lineRule="auto"/>
              <w:ind w:left="152"/>
              <w:rPr>
                <w:rFonts w:ascii="宋体" w:hAnsi="宋体"/>
                <w:b/>
              </w:rPr>
            </w:pPr>
            <w:r>
              <w:rPr>
                <w:rFonts w:hint="eastAsia" w:ascii="宋体" w:hAnsi="宋体"/>
                <w:b/>
              </w:rPr>
              <w:t>是否偏离</w:t>
            </w:r>
          </w:p>
        </w:tc>
        <w:tc>
          <w:tcPr>
            <w:tcW w:w="2625" w:type="dxa"/>
            <w:vAlign w:val="center"/>
          </w:tcPr>
          <w:p w14:paraId="6EA057AD">
            <w:pPr>
              <w:spacing w:line="360" w:lineRule="auto"/>
              <w:jc w:val="center"/>
              <w:rPr>
                <w:rFonts w:ascii="宋体" w:hAnsi="宋体"/>
                <w:b/>
              </w:rPr>
            </w:pPr>
            <w:r>
              <w:rPr>
                <w:rFonts w:hint="eastAsia" w:ascii="宋体" w:hAnsi="宋体"/>
                <w:b/>
              </w:rPr>
              <w:t>磋商供应商的承诺或说明</w:t>
            </w:r>
          </w:p>
        </w:tc>
      </w:tr>
      <w:tr w14:paraId="50A44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735" w:type="dxa"/>
            <w:vAlign w:val="center"/>
          </w:tcPr>
          <w:p w14:paraId="6673E0F4">
            <w:pPr>
              <w:spacing w:line="360" w:lineRule="auto"/>
              <w:rPr>
                <w:rFonts w:ascii="宋体" w:hAnsi="宋体"/>
              </w:rPr>
            </w:pPr>
          </w:p>
        </w:tc>
        <w:tc>
          <w:tcPr>
            <w:tcW w:w="1392" w:type="dxa"/>
          </w:tcPr>
          <w:p w14:paraId="6A757E10">
            <w:pPr>
              <w:snapToGrid w:val="0"/>
              <w:spacing w:line="360" w:lineRule="auto"/>
              <w:rPr>
                <w:rFonts w:ascii="宋体" w:hAnsi="宋体"/>
              </w:rPr>
            </w:pPr>
          </w:p>
        </w:tc>
        <w:tc>
          <w:tcPr>
            <w:tcW w:w="2178" w:type="dxa"/>
            <w:vAlign w:val="center"/>
          </w:tcPr>
          <w:p w14:paraId="49A04582">
            <w:pPr>
              <w:spacing w:line="360" w:lineRule="auto"/>
              <w:rPr>
                <w:rFonts w:ascii="宋体" w:hAnsi="宋体"/>
              </w:rPr>
            </w:pPr>
          </w:p>
        </w:tc>
        <w:tc>
          <w:tcPr>
            <w:tcW w:w="1365" w:type="dxa"/>
            <w:vAlign w:val="center"/>
          </w:tcPr>
          <w:p w14:paraId="0DFF7C71">
            <w:pPr>
              <w:spacing w:line="360" w:lineRule="auto"/>
              <w:rPr>
                <w:rFonts w:ascii="宋体" w:hAnsi="宋体"/>
              </w:rPr>
            </w:pPr>
          </w:p>
        </w:tc>
        <w:tc>
          <w:tcPr>
            <w:tcW w:w="2625" w:type="dxa"/>
            <w:vAlign w:val="center"/>
          </w:tcPr>
          <w:p w14:paraId="3C7D7965">
            <w:pPr>
              <w:spacing w:line="360" w:lineRule="auto"/>
              <w:rPr>
                <w:rFonts w:ascii="宋体" w:hAnsi="宋体"/>
              </w:rPr>
            </w:pPr>
          </w:p>
        </w:tc>
      </w:tr>
      <w:tr w14:paraId="1156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5" w:type="dxa"/>
            <w:vAlign w:val="center"/>
          </w:tcPr>
          <w:p w14:paraId="17A0634D">
            <w:pPr>
              <w:spacing w:line="360" w:lineRule="auto"/>
              <w:rPr>
                <w:rFonts w:ascii="宋体" w:hAnsi="宋体"/>
              </w:rPr>
            </w:pPr>
          </w:p>
        </w:tc>
        <w:tc>
          <w:tcPr>
            <w:tcW w:w="1392" w:type="dxa"/>
          </w:tcPr>
          <w:p w14:paraId="0C09ACDD">
            <w:pPr>
              <w:snapToGrid w:val="0"/>
              <w:spacing w:line="360" w:lineRule="auto"/>
              <w:rPr>
                <w:rFonts w:ascii="宋体" w:hAnsi="宋体"/>
              </w:rPr>
            </w:pPr>
          </w:p>
        </w:tc>
        <w:tc>
          <w:tcPr>
            <w:tcW w:w="2178" w:type="dxa"/>
            <w:vAlign w:val="center"/>
          </w:tcPr>
          <w:p w14:paraId="43F10E06">
            <w:pPr>
              <w:spacing w:line="360" w:lineRule="auto"/>
              <w:rPr>
                <w:rFonts w:ascii="宋体" w:hAnsi="宋体"/>
              </w:rPr>
            </w:pPr>
          </w:p>
        </w:tc>
        <w:tc>
          <w:tcPr>
            <w:tcW w:w="1365" w:type="dxa"/>
            <w:vAlign w:val="center"/>
          </w:tcPr>
          <w:p w14:paraId="21A917F9">
            <w:pPr>
              <w:spacing w:line="360" w:lineRule="auto"/>
              <w:rPr>
                <w:rFonts w:ascii="宋体" w:hAnsi="宋体"/>
              </w:rPr>
            </w:pPr>
          </w:p>
        </w:tc>
        <w:tc>
          <w:tcPr>
            <w:tcW w:w="2625" w:type="dxa"/>
            <w:vAlign w:val="center"/>
          </w:tcPr>
          <w:p w14:paraId="415AD1FD">
            <w:pPr>
              <w:spacing w:line="360" w:lineRule="auto"/>
              <w:rPr>
                <w:rFonts w:ascii="宋体" w:hAnsi="宋体"/>
              </w:rPr>
            </w:pPr>
          </w:p>
        </w:tc>
      </w:tr>
      <w:tr w14:paraId="1040C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vAlign w:val="center"/>
          </w:tcPr>
          <w:p w14:paraId="4B7C6AF8">
            <w:pPr>
              <w:spacing w:line="360" w:lineRule="auto"/>
              <w:rPr>
                <w:rFonts w:ascii="宋体" w:hAnsi="宋体"/>
              </w:rPr>
            </w:pPr>
          </w:p>
        </w:tc>
        <w:tc>
          <w:tcPr>
            <w:tcW w:w="1392" w:type="dxa"/>
          </w:tcPr>
          <w:p w14:paraId="5617734B">
            <w:pPr>
              <w:snapToGrid w:val="0"/>
              <w:spacing w:line="360" w:lineRule="auto"/>
              <w:rPr>
                <w:rFonts w:ascii="宋体" w:hAnsi="宋体"/>
              </w:rPr>
            </w:pPr>
          </w:p>
        </w:tc>
        <w:tc>
          <w:tcPr>
            <w:tcW w:w="2178" w:type="dxa"/>
            <w:vAlign w:val="center"/>
          </w:tcPr>
          <w:p w14:paraId="391E1637">
            <w:pPr>
              <w:spacing w:line="360" w:lineRule="auto"/>
              <w:rPr>
                <w:rFonts w:ascii="宋体" w:hAnsi="宋体"/>
              </w:rPr>
            </w:pPr>
          </w:p>
        </w:tc>
        <w:tc>
          <w:tcPr>
            <w:tcW w:w="1365" w:type="dxa"/>
            <w:vAlign w:val="center"/>
          </w:tcPr>
          <w:p w14:paraId="5BDA0F59">
            <w:pPr>
              <w:spacing w:line="360" w:lineRule="auto"/>
              <w:rPr>
                <w:rFonts w:ascii="宋体" w:hAnsi="宋体"/>
              </w:rPr>
            </w:pPr>
          </w:p>
        </w:tc>
        <w:tc>
          <w:tcPr>
            <w:tcW w:w="2625" w:type="dxa"/>
            <w:vAlign w:val="center"/>
          </w:tcPr>
          <w:p w14:paraId="0FB93FD4">
            <w:pPr>
              <w:spacing w:line="360" w:lineRule="auto"/>
              <w:rPr>
                <w:rFonts w:ascii="宋体" w:hAnsi="宋体"/>
              </w:rPr>
            </w:pPr>
          </w:p>
        </w:tc>
      </w:tr>
      <w:tr w14:paraId="39DD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vAlign w:val="center"/>
          </w:tcPr>
          <w:p w14:paraId="14D9B71E">
            <w:pPr>
              <w:spacing w:line="360" w:lineRule="auto"/>
              <w:rPr>
                <w:rFonts w:ascii="宋体" w:hAnsi="宋体"/>
              </w:rPr>
            </w:pPr>
          </w:p>
        </w:tc>
        <w:tc>
          <w:tcPr>
            <w:tcW w:w="1392" w:type="dxa"/>
          </w:tcPr>
          <w:p w14:paraId="502CCD86">
            <w:pPr>
              <w:snapToGrid w:val="0"/>
              <w:spacing w:line="360" w:lineRule="auto"/>
              <w:rPr>
                <w:rFonts w:ascii="宋体" w:hAnsi="宋体"/>
              </w:rPr>
            </w:pPr>
          </w:p>
        </w:tc>
        <w:tc>
          <w:tcPr>
            <w:tcW w:w="2178" w:type="dxa"/>
            <w:vAlign w:val="center"/>
          </w:tcPr>
          <w:p w14:paraId="1650CD37">
            <w:pPr>
              <w:spacing w:line="360" w:lineRule="auto"/>
              <w:rPr>
                <w:rFonts w:ascii="宋体" w:hAnsi="宋体"/>
              </w:rPr>
            </w:pPr>
          </w:p>
        </w:tc>
        <w:tc>
          <w:tcPr>
            <w:tcW w:w="1365" w:type="dxa"/>
            <w:vAlign w:val="center"/>
          </w:tcPr>
          <w:p w14:paraId="2C5CBD66">
            <w:pPr>
              <w:spacing w:line="360" w:lineRule="auto"/>
              <w:rPr>
                <w:rFonts w:ascii="宋体" w:hAnsi="宋体"/>
              </w:rPr>
            </w:pPr>
          </w:p>
        </w:tc>
        <w:tc>
          <w:tcPr>
            <w:tcW w:w="2625" w:type="dxa"/>
            <w:vAlign w:val="center"/>
          </w:tcPr>
          <w:p w14:paraId="287B8C5B">
            <w:pPr>
              <w:spacing w:line="360" w:lineRule="auto"/>
              <w:rPr>
                <w:rFonts w:ascii="宋体" w:hAnsi="宋体"/>
              </w:rPr>
            </w:pPr>
          </w:p>
        </w:tc>
      </w:tr>
      <w:tr w14:paraId="235F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vAlign w:val="center"/>
          </w:tcPr>
          <w:p w14:paraId="73CABC81">
            <w:pPr>
              <w:spacing w:line="360" w:lineRule="auto"/>
              <w:rPr>
                <w:rFonts w:ascii="宋体" w:hAnsi="宋体"/>
              </w:rPr>
            </w:pPr>
          </w:p>
        </w:tc>
        <w:tc>
          <w:tcPr>
            <w:tcW w:w="1392" w:type="dxa"/>
          </w:tcPr>
          <w:p w14:paraId="7E275172">
            <w:pPr>
              <w:snapToGrid w:val="0"/>
              <w:spacing w:line="360" w:lineRule="auto"/>
              <w:rPr>
                <w:rFonts w:ascii="宋体" w:hAnsi="宋体"/>
              </w:rPr>
            </w:pPr>
          </w:p>
        </w:tc>
        <w:tc>
          <w:tcPr>
            <w:tcW w:w="2178" w:type="dxa"/>
            <w:vAlign w:val="center"/>
          </w:tcPr>
          <w:p w14:paraId="01150730">
            <w:pPr>
              <w:spacing w:line="360" w:lineRule="auto"/>
              <w:rPr>
                <w:rFonts w:ascii="宋体" w:hAnsi="宋体"/>
              </w:rPr>
            </w:pPr>
          </w:p>
        </w:tc>
        <w:tc>
          <w:tcPr>
            <w:tcW w:w="1365" w:type="dxa"/>
            <w:vAlign w:val="center"/>
          </w:tcPr>
          <w:p w14:paraId="08B8D1C5">
            <w:pPr>
              <w:spacing w:line="360" w:lineRule="auto"/>
              <w:rPr>
                <w:rFonts w:ascii="宋体" w:hAnsi="宋体"/>
              </w:rPr>
            </w:pPr>
          </w:p>
        </w:tc>
        <w:tc>
          <w:tcPr>
            <w:tcW w:w="2625" w:type="dxa"/>
            <w:vAlign w:val="center"/>
          </w:tcPr>
          <w:p w14:paraId="6EB4BDF1">
            <w:pPr>
              <w:spacing w:line="360" w:lineRule="auto"/>
              <w:rPr>
                <w:rFonts w:ascii="宋体" w:hAnsi="宋体"/>
              </w:rPr>
            </w:pPr>
          </w:p>
        </w:tc>
      </w:tr>
      <w:tr w14:paraId="32D85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vAlign w:val="center"/>
          </w:tcPr>
          <w:p w14:paraId="56EFB00D">
            <w:pPr>
              <w:spacing w:line="360" w:lineRule="auto"/>
              <w:rPr>
                <w:rFonts w:ascii="宋体" w:hAnsi="宋体"/>
              </w:rPr>
            </w:pPr>
          </w:p>
        </w:tc>
        <w:tc>
          <w:tcPr>
            <w:tcW w:w="1392" w:type="dxa"/>
          </w:tcPr>
          <w:p w14:paraId="4B9495D9">
            <w:pPr>
              <w:snapToGrid w:val="0"/>
              <w:spacing w:line="360" w:lineRule="auto"/>
              <w:rPr>
                <w:rFonts w:ascii="宋体" w:hAnsi="宋体"/>
              </w:rPr>
            </w:pPr>
          </w:p>
        </w:tc>
        <w:tc>
          <w:tcPr>
            <w:tcW w:w="2178" w:type="dxa"/>
            <w:vAlign w:val="center"/>
          </w:tcPr>
          <w:p w14:paraId="3577E6AF">
            <w:pPr>
              <w:spacing w:line="360" w:lineRule="auto"/>
              <w:rPr>
                <w:rFonts w:ascii="宋体" w:hAnsi="宋体"/>
              </w:rPr>
            </w:pPr>
          </w:p>
        </w:tc>
        <w:tc>
          <w:tcPr>
            <w:tcW w:w="1365" w:type="dxa"/>
            <w:vAlign w:val="center"/>
          </w:tcPr>
          <w:p w14:paraId="15EBF180">
            <w:pPr>
              <w:spacing w:line="360" w:lineRule="auto"/>
              <w:rPr>
                <w:rFonts w:ascii="宋体" w:hAnsi="宋体"/>
              </w:rPr>
            </w:pPr>
          </w:p>
        </w:tc>
        <w:tc>
          <w:tcPr>
            <w:tcW w:w="2625" w:type="dxa"/>
            <w:vAlign w:val="center"/>
          </w:tcPr>
          <w:p w14:paraId="1F2A1788">
            <w:pPr>
              <w:spacing w:line="360" w:lineRule="auto"/>
              <w:rPr>
                <w:rFonts w:ascii="宋体" w:hAnsi="宋体"/>
              </w:rPr>
            </w:pPr>
          </w:p>
        </w:tc>
      </w:tr>
      <w:tr w14:paraId="1DDC0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735" w:type="dxa"/>
            <w:vAlign w:val="center"/>
          </w:tcPr>
          <w:p w14:paraId="5FED882E">
            <w:pPr>
              <w:spacing w:line="360" w:lineRule="auto"/>
              <w:rPr>
                <w:rFonts w:ascii="宋体" w:hAnsi="宋体"/>
              </w:rPr>
            </w:pPr>
          </w:p>
        </w:tc>
        <w:tc>
          <w:tcPr>
            <w:tcW w:w="1392" w:type="dxa"/>
          </w:tcPr>
          <w:p w14:paraId="46091312">
            <w:pPr>
              <w:snapToGrid w:val="0"/>
              <w:spacing w:line="360" w:lineRule="auto"/>
              <w:rPr>
                <w:rFonts w:ascii="宋体" w:hAnsi="宋体"/>
              </w:rPr>
            </w:pPr>
          </w:p>
        </w:tc>
        <w:tc>
          <w:tcPr>
            <w:tcW w:w="2178" w:type="dxa"/>
            <w:vAlign w:val="center"/>
          </w:tcPr>
          <w:p w14:paraId="73F5F43E">
            <w:pPr>
              <w:spacing w:line="360" w:lineRule="auto"/>
              <w:rPr>
                <w:rFonts w:ascii="宋体" w:hAnsi="宋体"/>
              </w:rPr>
            </w:pPr>
          </w:p>
        </w:tc>
        <w:tc>
          <w:tcPr>
            <w:tcW w:w="1365" w:type="dxa"/>
            <w:vAlign w:val="center"/>
          </w:tcPr>
          <w:p w14:paraId="43740C60">
            <w:pPr>
              <w:spacing w:line="360" w:lineRule="auto"/>
              <w:rPr>
                <w:rFonts w:ascii="宋体" w:hAnsi="宋体"/>
              </w:rPr>
            </w:pPr>
          </w:p>
        </w:tc>
        <w:tc>
          <w:tcPr>
            <w:tcW w:w="2625" w:type="dxa"/>
            <w:vAlign w:val="center"/>
          </w:tcPr>
          <w:p w14:paraId="73C038D7">
            <w:pPr>
              <w:spacing w:line="360" w:lineRule="auto"/>
              <w:rPr>
                <w:rFonts w:ascii="宋体" w:hAnsi="宋体"/>
              </w:rPr>
            </w:pPr>
          </w:p>
        </w:tc>
      </w:tr>
      <w:tr w14:paraId="78CB2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735" w:type="dxa"/>
            <w:vAlign w:val="center"/>
          </w:tcPr>
          <w:p w14:paraId="727CF9BA">
            <w:pPr>
              <w:spacing w:line="360" w:lineRule="auto"/>
              <w:rPr>
                <w:rFonts w:ascii="宋体" w:hAnsi="宋体"/>
              </w:rPr>
            </w:pPr>
          </w:p>
        </w:tc>
        <w:tc>
          <w:tcPr>
            <w:tcW w:w="1392" w:type="dxa"/>
          </w:tcPr>
          <w:p w14:paraId="6D64D6F3">
            <w:pPr>
              <w:snapToGrid w:val="0"/>
              <w:spacing w:line="360" w:lineRule="auto"/>
              <w:rPr>
                <w:rFonts w:ascii="宋体" w:hAnsi="宋体"/>
              </w:rPr>
            </w:pPr>
          </w:p>
        </w:tc>
        <w:tc>
          <w:tcPr>
            <w:tcW w:w="2178" w:type="dxa"/>
            <w:vAlign w:val="center"/>
          </w:tcPr>
          <w:p w14:paraId="7466BB8C">
            <w:pPr>
              <w:spacing w:line="360" w:lineRule="auto"/>
              <w:rPr>
                <w:rFonts w:ascii="宋体" w:hAnsi="宋体"/>
              </w:rPr>
            </w:pPr>
          </w:p>
        </w:tc>
        <w:tc>
          <w:tcPr>
            <w:tcW w:w="1365" w:type="dxa"/>
            <w:vAlign w:val="center"/>
          </w:tcPr>
          <w:p w14:paraId="1D9947F3">
            <w:pPr>
              <w:spacing w:line="360" w:lineRule="auto"/>
              <w:rPr>
                <w:rFonts w:ascii="宋体" w:hAnsi="宋体"/>
              </w:rPr>
            </w:pPr>
          </w:p>
        </w:tc>
        <w:tc>
          <w:tcPr>
            <w:tcW w:w="2625" w:type="dxa"/>
            <w:vAlign w:val="center"/>
          </w:tcPr>
          <w:p w14:paraId="191FA3C0">
            <w:pPr>
              <w:spacing w:line="360" w:lineRule="auto"/>
              <w:rPr>
                <w:rFonts w:ascii="宋体" w:hAnsi="宋体"/>
              </w:rPr>
            </w:pPr>
          </w:p>
        </w:tc>
      </w:tr>
      <w:tr w14:paraId="23BD8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735" w:type="dxa"/>
            <w:vAlign w:val="center"/>
          </w:tcPr>
          <w:p w14:paraId="447A9BE3">
            <w:pPr>
              <w:spacing w:line="360" w:lineRule="auto"/>
              <w:rPr>
                <w:rFonts w:ascii="宋体" w:hAnsi="宋体"/>
              </w:rPr>
            </w:pPr>
          </w:p>
        </w:tc>
        <w:tc>
          <w:tcPr>
            <w:tcW w:w="1392" w:type="dxa"/>
          </w:tcPr>
          <w:p w14:paraId="49EF8D9F">
            <w:pPr>
              <w:snapToGrid w:val="0"/>
              <w:spacing w:line="360" w:lineRule="auto"/>
              <w:rPr>
                <w:rFonts w:ascii="宋体" w:hAnsi="宋体"/>
              </w:rPr>
            </w:pPr>
          </w:p>
        </w:tc>
        <w:tc>
          <w:tcPr>
            <w:tcW w:w="2178" w:type="dxa"/>
            <w:vAlign w:val="center"/>
          </w:tcPr>
          <w:p w14:paraId="7ABEB6F0">
            <w:pPr>
              <w:spacing w:line="360" w:lineRule="auto"/>
              <w:rPr>
                <w:rFonts w:ascii="宋体" w:hAnsi="宋体"/>
              </w:rPr>
            </w:pPr>
          </w:p>
        </w:tc>
        <w:tc>
          <w:tcPr>
            <w:tcW w:w="1365" w:type="dxa"/>
            <w:vAlign w:val="center"/>
          </w:tcPr>
          <w:p w14:paraId="74209E22">
            <w:pPr>
              <w:spacing w:line="360" w:lineRule="auto"/>
              <w:rPr>
                <w:rFonts w:ascii="宋体" w:hAnsi="宋体"/>
              </w:rPr>
            </w:pPr>
          </w:p>
        </w:tc>
        <w:tc>
          <w:tcPr>
            <w:tcW w:w="2625" w:type="dxa"/>
            <w:vAlign w:val="center"/>
          </w:tcPr>
          <w:p w14:paraId="68C4CDB4">
            <w:pPr>
              <w:spacing w:line="360" w:lineRule="auto"/>
              <w:rPr>
                <w:rFonts w:ascii="宋体" w:hAnsi="宋体"/>
              </w:rPr>
            </w:pPr>
          </w:p>
        </w:tc>
      </w:tr>
      <w:tr w14:paraId="720C0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5" w:type="dxa"/>
            <w:vAlign w:val="center"/>
          </w:tcPr>
          <w:p w14:paraId="70C918BF">
            <w:pPr>
              <w:spacing w:line="360" w:lineRule="auto"/>
              <w:rPr>
                <w:rFonts w:ascii="宋体" w:hAnsi="宋体"/>
              </w:rPr>
            </w:pPr>
          </w:p>
        </w:tc>
        <w:tc>
          <w:tcPr>
            <w:tcW w:w="1392" w:type="dxa"/>
          </w:tcPr>
          <w:p w14:paraId="1E8E0CC9">
            <w:pPr>
              <w:snapToGrid w:val="0"/>
              <w:spacing w:before="156" w:beforeLines="50" w:line="360" w:lineRule="auto"/>
              <w:rPr>
                <w:rFonts w:ascii="宋体" w:hAnsi="宋体"/>
              </w:rPr>
            </w:pPr>
          </w:p>
        </w:tc>
        <w:tc>
          <w:tcPr>
            <w:tcW w:w="2178" w:type="dxa"/>
            <w:vAlign w:val="center"/>
          </w:tcPr>
          <w:p w14:paraId="1B81736D">
            <w:pPr>
              <w:spacing w:line="360" w:lineRule="auto"/>
              <w:rPr>
                <w:rFonts w:ascii="宋体" w:hAnsi="宋体"/>
              </w:rPr>
            </w:pPr>
          </w:p>
        </w:tc>
        <w:tc>
          <w:tcPr>
            <w:tcW w:w="1365" w:type="dxa"/>
            <w:vAlign w:val="center"/>
          </w:tcPr>
          <w:p w14:paraId="02E2E4B7">
            <w:pPr>
              <w:spacing w:line="360" w:lineRule="auto"/>
              <w:rPr>
                <w:rFonts w:ascii="宋体" w:hAnsi="宋体"/>
              </w:rPr>
            </w:pPr>
          </w:p>
        </w:tc>
        <w:tc>
          <w:tcPr>
            <w:tcW w:w="2625" w:type="dxa"/>
            <w:vAlign w:val="center"/>
          </w:tcPr>
          <w:p w14:paraId="4CA8CF9A">
            <w:pPr>
              <w:spacing w:line="360" w:lineRule="auto"/>
              <w:rPr>
                <w:rFonts w:ascii="宋体" w:hAnsi="宋体"/>
              </w:rPr>
            </w:pPr>
          </w:p>
        </w:tc>
      </w:tr>
    </w:tbl>
    <w:p w14:paraId="05ED934A">
      <w:pPr>
        <w:spacing w:line="360" w:lineRule="auto"/>
        <w:rPr>
          <w:rFonts w:ascii="宋体" w:hAnsi="宋体"/>
          <w:sz w:val="24"/>
        </w:rPr>
      </w:pPr>
      <w:r>
        <w:rPr>
          <w:rFonts w:hint="eastAsia" w:ascii="宋体" w:hAnsi="宋体"/>
          <w:b/>
          <w:szCs w:val="21"/>
        </w:rPr>
        <w:t>要求：</w:t>
      </w:r>
      <w:r>
        <w:rPr>
          <w:rFonts w:hint="eastAsia" w:ascii="宋体" w:hAnsi="宋体"/>
          <w:szCs w:val="21"/>
        </w:rPr>
        <w:t>本表“内容”栏根据磋商文件第二章磋商需求“二、技术需求”、“三、商务需求”内容填写。</w:t>
      </w:r>
      <w:r>
        <w:rPr>
          <w:rFonts w:hint="eastAsia" w:ascii="宋体" w:hAnsi="宋体"/>
          <w:b/>
          <w:szCs w:val="21"/>
        </w:rPr>
        <w:t>如无偏离，可不需逐条响应，在本表中写明“商务及技术需求全部条款均无偏离，完全响应磋商文件要求”，如有条款偏离，则必须逐条填写响应情况。</w:t>
      </w:r>
    </w:p>
    <w:p w14:paraId="69F627D6">
      <w:pPr>
        <w:spacing w:line="360" w:lineRule="auto"/>
        <w:rPr>
          <w:rFonts w:ascii="宋体" w:hAnsi="宋体"/>
        </w:rPr>
      </w:pPr>
    </w:p>
    <w:p w14:paraId="145EBEBD">
      <w:pPr>
        <w:pStyle w:val="28"/>
        <w:ind w:firstLine="200"/>
      </w:pPr>
    </w:p>
    <w:p w14:paraId="51DF1C1B">
      <w:pPr>
        <w:spacing w:line="360" w:lineRule="auto"/>
        <w:ind w:left="420"/>
        <w:rPr>
          <w:rFonts w:ascii="宋体" w:hAnsi="宋体"/>
          <w:sz w:val="24"/>
          <w:u w:val="single"/>
        </w:rPr>
      </w:pPr>
      <w:r>
        <w:rPr>
          <w:rFonts w:hint="eastAsia" w:ascii="宋体" w:hAnsi="宋体"/>
          <w:sz w:val="24"/>
        </w:rPr>
        <w:t>磋商供应商名称（盖章）：</w:t>
      </w:r>
    </w:p>
    <w:p w14:paraId="208A5A6C">
      <w:pPr>
        <w:spacing w:line="360" w:lineRule="auto"/>
        <w:ind w:firstLine="435"/>
        <w:rPr>
          <w:rFonts w:ascii="宋体" w:hAnsi="宋体"/>
          <w:sz w:val="24"/>
        </w:rPr>
      </w:pPr>
    </w:p>
    <w:p w14:paraId="568C4C1E">
      <w:pPr>
        <w:spacing w:line="360" w:lineRule="auto"/>
        <w:ind w:firstLine="435"/>
        <w:rPr>
          <w:rFonts w:ascii="宋体" w:hAnsi="宋体"/>
          <w:sz w:val="24"/>
        </w:rPr>
      </w:pPr>
      <w:r>
        <w:rPr>
          <w:rFonts w:hint="eastAsia" w:ascii="宋体" w:hAnsi="宋体"/>
          <w:sz w:val="24"/>
        </w:rPr>
        <w:t>磋商供应商法定代表人或授权代表（签字或盖章）：</w:t>
      </w:r>
    </w:p>
    <w:p w14:paraId="4CCFBF22">
      <w:pPr>
        <w:spacing w:line="320" w:lineRule="exact"/>
        <w:ind w:firstLine="435"/>
        <w:rPr>
          <w:rFonts w:ascii="宋体" w:hAnsi="宋体"/>
          <w:sz w:val="24"/>
        </w:rPr>
      </w:pPr>
    </w:p>
    <w:p w14:paraId="1A5C70EF">
      <w:pPr>
        <w:spacing w:line="320" w:lineRule="exact"/>
        <w:ind w:firstLine="435"/>
        <w:rPr>
          <w:rFonts w:ascii="宋体" w:hAnsi="宋体"/>
          <w:sz w:val="24"/>
        </w:rPr>
      </w:pPr>
      <w:r>
        <w:rPr>
          <w:rFonts w:hint="eastAsia" w:ascii="宋体" w:hAnsi="宋体"/>
          <w:sz w:val="24"/>
        </w:rPr>
        <w:t>日        期：</w:t>
      </w:r>
    </w:p>
    <w:p w14:paraId="175D8960">
      <w:pPr>
        <w:spacing w:line="360" w:lineRule="atLeast"/>
        <w:ind w:left="480"/>
        <w:rPr>
          <w:rFonts w:ascii="宋体" w:hAnsi="宋体"/>
          <w:b/>
          <w:sz w:val="36"/>
          <w:szCs w:val="36"/>
        </w:rPr>
      </w:pPr>
    </w:p>
    <w:p w14:paraId="79BB3739">
      <w:pPr>
        <w:pStyle w:val="50"/>
        <w:spacing w:line="360" w:lineRule="auto"/>
        <w:jc w:val="left"/>
        <w:rPr>
          <w:rFonts w:ascii="宋体" w:hAnsi="宋体"/>
          <w:b/>
          <w:sz w:val="28"/>
          <w:szCs w:val="28"/>
        </w:rPr>
      </w:pPr>
      <w:r>
        <w:rPr>
          <w:rFonts w:ascii="宋体" w:hAnsi="宋体"/>
          <w:b/>
          <w:sz w:val="28"/>
          <w:szCs w:val="28"/>
        </w:rPr>
        <w:br w:type="page"/>
      </w:r>
    </w:p>
    <w:p w14:paraId="779CD4F3">
      <w:pPr>
        <w:pStyle w:val="50"/>
        <w:spacing w:line="360" w:lineRule="auto"/>
        <w:jc w:val="left"/>
        <w:rPr>
          <w:rFonts w:ascii="宋体" w:hAnsi="宋体"/>
          <w:b/>
          <w:sz w:val="28"/>
        </w:rPr>
      </w:pPr>
      <w:r>
        <w:rPr>
          <w:rFonts w:hint="eastAsia" w:ascii="宋体" w:hAnsi="宋体"/>
          <w:b/>
          <w:sz w:val="28"/>
        </w:rPr>
        <w:t>附件9</w:t>
      </w:r>
    </w:p>
    <w:p w14:paraId="2F1D4906">
      <w:pPr>
        <w:pStyle w:val="50"/>
        <w:spacing w:line="360" w:lineRule="auto"/>
        <w:jc w:val="center"/>
        <w:rPr>
          <w:rFonts w:ascii="宋体" w:hAnsi="宋体"/>
          <w:b/>
          <w:sz w:val="32"/>
          <w:szCs w:val="32"/>
        </w:rPr>
      </w:pPr>
      <w:r>
        <w:rPr>
          <w:rFonts w:hint="eastAsia" w:ascii="宋体" w:hAnsi="宋体"/>
          <w:b/>
          <w:sz w:val="32"/>
          <w:szCs w:val="32"/>
        </w:rPr>
        <w:t>供应商类似项目实施情况一览表</w:t>
      </w:r>
    </w:p>
    <w:p w14:paraId="19C30C0D">
      <w:pPr>
        <w:pStyle w:val="50"/>
        <w:spacing w:line="360" w:lineRule="auto"/>
        <w:jc w:val="center"/>
        <w:rPr>
          <w:rFonts w:ascii="宋体" w:hAnsi="宋体"/>
          <w:b/>
          <w:sz w:val="32"/>
          <w:szCs w:val="32"/>
        </w:rPr>
      </w:pPr>
    </w:p>
    <w:tbl>
      <w:tblPr>
        <w:tblStyle w:val="30"/>
        <w:tblW w:w="921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1"/>
        <w:gridCol w:w="1475"/>
        <w:gridCol w:w="888"/>
        <w:gridCol w:w="888"/>
        <w:gridCol w:w="999"/>
        <w:gridCol w:w="1887"/>
        <w:gridCol w:w="1998"/>
      </w:tblGrid>
      <w:tr w14:paraId="21709D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trPr>
        <w:tc>
          <w:tcPr>
            <w:tcW w:w="1081" w:type="dxa"/>
            <w:vMerge w:val="restart"/>
            <w:tcBorders>
              <w:top w:val="single" w:color="auto" w:sz="4" w:space="0"/>
              <w:left w:val="single" w:color="auto" w:sz="4" w:space="0"/>
              <w:bottom w:val="single" w:color="auto" w:sz="4" w:space="0"/>
              <w:right w:val="single" w:color="auto" w:sz="4" w:space="0"/>
            </w:tcBorders>
            <w:vAlign w:val="center"/>
          </w:tcPr>
          <w:p w14:paraId="663E7619">
            <w:pPr>
              <w:snapToGrid w:val="0"/>
              <w:ind w:left="-105" w:leftChars="-50" w:right="-105" w:rightChars="-50"/>
              <w:jc w:val="center"/>
              <w:rPr>
                <w:rFonts w:ascii="宋体" w:hAnsi="宋体"/>
                <w:sz w:val="24"/>
              </w:rPr>
            </w:pPr>
            <w:r>
              <w:rPr>
                <w:rFonts w:hint="eastAsia" w:ascii="宋体" w:hAnsi="宋体"/>
                <w:sz w:val="24"/>
              </w:rPr>
              <w:t>采购单位名称</w:t>
            </w:r>
          </w:p>
        </w:tc>
        <w:tc>
          <w:tcPr>
            <w:tcW w:w="1475" w:type="dxa"/>
            <w:vMerge w:val="restart"/>
            <w:tcBorders>
              <w:top w:val="single" w:color="auto" w:sz="4" w:space="0"/>
              <w:left w:val="single" w:color="auto" w:sz="4" w:space="0"/>
              <w:bottom w:val="single" w:color="auto" w:sz="4" w:space="0"/>
              <w:right w:val="single" w:color="auto" w:sz="4" w:space="0"/>
            </w:tcBorders>
            <w:vAlign w:val="center"/>
          </w:tcPr>
          <w:p w14:paraId="4F8544DB">
            <w:pPr>
              <w:snapToGrid w:val="0"/>
              <w:ind w:left="-105" w:leftChars="-50" w:right="-105" w:rightChars="-50"/>
              <w:jc w:val="center"/>
              <w:rPr>
                <w:rFonts w:ascii="宋体" w:hAnsi="宋体"/>
                <w:sz w:val="24"/>
              </w:rPr>
            </w:pPr>
            <w:r>
              <w:rPr>
                <w:rFonts w:hint="eastAsia" w:ascii="宋体" w:hAnsi="宋体"/>
                <w:sz w:val="24"/>
              </w:rPr>
              <w:t>项目名称</w:t>
            </w:r>
          </w:p>
        </w:tc>
        <w:tc>
          <w:tcPr>
            <w:tcW w:w="888" w:type="dxa"/>
            <w:vMerge w:val="restart"/>
            <w:tcBorders>
              <w:top w:val="single" w:color="auto" w:sz="4" w:space="0"/>
              <w:left w:val="single" w:color="auto" w:sz="4" w:space="0"/>
              <w:bottom w:val="single" w:color="auto" w:sz="4" w:space="0"/>
              <w:right w:val="single" w:color="auto" w:sz="4" w:space="0"/>
            </w:tcBorders>
            <w:vAlign w:val="center"/>
          </w:tcPr>
          <w:p w14:paraId="0980C86A">
            <w:pPr>
              <w:snapToGrid w:val="0"/>
              <w:ind w:left="-105" w:leftChars="-50" w:right="-105" w:rightChars="-50"/>
              <w:jc w:val="center"/>
              <w:rPr>
                <w:rFonts w:ascii="宋体" w:hAnsi="宋体"/>
                <w:sz w:val="24"/>
              </w:rPr>
            </w:pPr>
            <w:r>
              <w:rPr>
                <w:rFonts w:hint="eastAsia" w:ascii="宋体" w:hAnsi="宋体"/>
                <w:sz w:val="24"/>
              </w:rPr>
              <w:t>数量</w:t>
            </w:r>
          </w:p>
        </w:tc>
        <w:tc>
          <w:tcPr>
            <w:tcW w:w="888" w:type="dxa"/>
            <w:vMerge w:val="restart"/>
            <w:tcBorders>
              <w:top w:val="single" w:color="auto" w:sz="4" w:space="0"/>
              <w:left w:val="single" w:color="auto" w:sz="4" w:space="0"/>
              <w:bottom w:val="single" w:color="auto" w:sz="4" w:space="0"/>
              <w:right w:val="single" w:color="auto" w:sz="4" w:space="0"/>
            </w:tcBorders>
            <w:vAlign w:val="center"/>
          </w:tcPr>
          <w:p w14:paraId="33254094">
            <w:pPr>
              <w:snapToGrid w:val="0"/>
              <w:ind w:left="-105" w:leftChars="-50" w:right="-105" w:rightChars="-50"/>
              <w:jc w:val="center"/>
              <w:rPr>
                <w:rFonts w:ascii="宋体" w:hAnsi="宋体"/>
                <w:sz w:val="24"/>
              </w:rPr>
            </w:pPr>
            <w:r>
              <w:rPr>
                <w:rFonts w:hint="eastAsia" w:ascii="宋体" w:hAnsi="宋体"/>
                <w:sz w:val="24"/>
              </w:rPr>
              <w:t>单价</w:t>
            </w:r>
          </w:p>
        </w:tc>
        <w:tc>
          <w:tcPr>
            <w:tcW w:w="999" w:type="dxa"/>
            <w:vMerge w:val="restart"/>
            <w:tcBorders>
              <w:top w:val="single" w:color="auto" w:sz="4" w:space="0"/>
              <w:left w:val="single" w:color="auto" w:sz="4" w:space="0"/>
              <w:bottom w:val="single" w:color="auto" w:sz="4" w:space="0"/>
              <w:right w:val="single" w:color="auto" w:sz="4" w:space="0"/>
            </w:tcBorders>
            <w:vAlign w:val="center"/>
          </w:tcPr>
          <w:p w14:paraId="57A9B3F0">
            <w:pPr>
              <w:snapToGrid w:val="0"/>
              <w:ind w:left="-105" w:leftChars="-50" w:right="-105" w:rightChars="-50"/>
              <w:jc w:val="center"/>
              <w:rPr>
                <w:rFonts w:ascii="宋体" w:hAnsi="宋体"/>
                <w:sz w:val="24"/>
              </w:rPr>
            </w:pPr>
            <w:r>
              <w:rPr>
                <w:rFonts w:hint="eastAsia" w:ascii="宋体" w:hAnsi="宋体"/>
                <w:sz w:val="24"/>
              </w:rPr>
              <w:t>合同</w:t>
            </w:r>
          </w:p>
          <w:p w14:paraId="3EFDE0FF">
            <w:pPr>
              <w:snapToGrid w:val="0"/>
              <w:ind w:left="-105" w:leftChars="-50" w:right="-105" w:rightChars="-50"/>
              <w:jc w:val="center"/>
              <w:rPr>
                <w:rFonts w:ascii="宋体" w:hAnsi="宋体"/>
                <w:sz w:val="24"/>
              </w:rPr>
            </w:pPr>
            <w:r>
              <w:rPr>
                <w:rFonts w:ascii="宋体" w:hAnsi="宋体"/>
                <w:sz w:val="24"/>
              </w:rPr>
              <w:t>内容</w:t>
            </w:r>
          </w:p>
        </w:tc>
        <w:tc>
          <w:tcPr>
            <w:tcW w:w="1887" w:type="dxa"/>
            <w:tcBorders>
              <w:top w:val="single" w:color="auto" w:sz="4" w:space="0"/>
              <w:left w:val="single" w:color="auto" w:sz="4" w:space="0"/>
              <w:bottom w:val="single" w:color="auto" w:sz="4" w:space="0"/>
              <w:right w:val="single" w:color="auto" w:sz="4" w:space="0"/>
            </w:tcBorders>
            <w:vAlign w:val="center"/>
          </w:tcPr>
          <w:p w14:paraId="1A9B94B2">
            <w:pPr>
              <w:snapToGrid w:val="0"/>
              <w:ind w:left="-105" w:leftChars="-50" w:right="-105" w:rightChars="-50"/>
              <w:jc w:val="center"/>
              <w:rPr>
                <w:rFonts w:ascii="宋体" w:hAnsi="宋体"/>
                <w:sz w:val="24"/>
              </w:rPr>
            </w:pPr>
            <w:r>
              <w:rPr>
                <w:rFonts w:hint="eastAsia" w:ascii="宋体" w:hAnsi="宋体"/>
                <w:sz w:val="24"/>
              </w:rPr>
              <w:t>附件页码</w:t>
            </w:r>
          </w:p>
        </w:tc>
        <w:tc>
          <w:tcPr>
            <w:tcW w:w="1998" w:type="dxa"/>
            <w:vMerge w:val="restart"/>
            <w:tcBorders>
              <w:top w:val="single" w:color="auto" w:sz="4" w:space="0"/>
              <w:left w:val="single" w:color="auto" w:sz="4" w:space="0"/>
              <w:bottom w:val="single" w:color="auto" w:sz="4" w:space="0"/>
              <w:right w:val="single" w:color="auto" w:sz="4" w:space="0"/>
            </w:tcBorders>
            <w:vAlign w:val="center"/>
          </w:tcPr>
          <w:p w14:paraId="72B4B283">
            <w:pPr>
              <w:snapToGrid w:val="0"/>
              <w:ind w:left="-105" w:leftChars="-50" w:right="-105" w:rightChars="-50"/>
              <w:jc w:val="center"/>
              <w:rPr>
                <w:rFonts w:ascii="宋体" w:hAnsi="宋体"/>
                <w:sz w:val="24"/>
              </w:rPr>
            </w:pPr>
            <w:r>
              <w:rPr>
                <w:rFonts w:hint="eastAsia" w:ascii="宋体" w:hAnsi="宋体"/>
                <w:sz w:val="24"/>
              </w:rPr>
              <w:t>采购单位联系人及</w:t>
            </w:r>
          </w:p>
          <w:p w14:paraId="5BCFADEE">
            <w:pPr>
              <w:snapToGrid w:val="0"/>
              <w:ind w:left="-105" w:leftChars="-50" w:right="-105" w:rightChars="-50"/>
              <w:jc w:val="center"/>
              <w:rPr>
                <w:rFonts w:ascii="宋体" w:hAnsi="宋体"/>
                <w:sz w:val="24"/>
              </w:rPr>
            </w:pPr>
            <w:r>
              <w:rPr>
                <w:rFonts w:hint="eastAsia" w:ascii="宋体" w:hAnsi="宋体"/>
                <w:sz w:val="24"/>
              </w:rPr>
              <w:t>联系电话</w:t>
            </w:r>
          </w:p>
        </w:tc>
      </w:tr>
      <w:tr w14:paraId="5AD784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trPr>
        <w:tc>
          <w:tcPr>
            <w:tcW w:w="1081" w:type="dxa"/>
            <w:vMerge w:val="continue"/>
            <w:tcBorders>
              <w:top w:val="single" w:color="auto" w:sz="4" w:space="0"/>
              <w:left w:val="single" w:color="auto" w:sz="4" w:space="0"/>
              <w:bottom w:val="single" w:color="auto" w:sz="4" w:space="0"/>
              <w:right w:val="single" w:color="auto" w:sz="4" w:space="0"/>
            </w:tcBorders>
            <w:vAlign w:val="center"/>
          </w:tcPr>
          <w:p w14:paraId="75BCF970">
            <w:pPr>
              <w:widowControl/>
              <w:jc w:val="left"/>
              <w:rPr>
                <w:rFonts w:ascii="宋体" w:hAnsi="宋体"/>
                <w:sz w:val="24"/>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14:paraId="18156138">
            <w:pPr>
              <w:widowControl/>
              <w:jc w:val="left"/>
              <w:rPr>
                <w:rFonts w:ascii="宋体" w:hAnsi="宋体"/>
                <w:sz w:val="24"/>
              </w:rPr>
            </w:pPr>
          </w:p>
        </w:tc>
        <w:tc>
          <w:tcPr>
            <w:tcW w:w="888" w:type="dxa"/>
            <w:vMerge w:val="continue"/>
            <w:tcBorders>
              <w:top w:val="single" w:color="auto" w:sz="4" w:space="0"/>
              <w:left w:val="single" w:color="auto" w:sz="4" w:space="0"/>
              <w:bottom w:val="single" w:color="auto" w:sz="4" w:space="0"/>
              <w:right w:val="single" w:color="auto" w:sz="4" w:space="0"/>
            </w:tcBorders>
            <w:vAlign w:val="center"/>
          </w:tcPr>
          <w:p w14:paraId="4C0943F3">
            <w:pPr>
              <w:widowControl/>
              <w:jc w:val="left"/>
              <w:rPr>
                <w:rFonts w:ascii="宋体" w:hAnsi="宋体"/>
                <w:sz w:val="24"/>
              </w:rPr>
            </w:pPr>
          </w:p>
        </w:tc>
        <w:tc>
          <w:tcPr>
            <w:tcW w:w="888" w:type="dxa"/>
            <w:vMerge w:val="continue"/>
            <w:tcBorders>
              <w:top w:val="single" w:color="auto" w:sz="4" w:space="0"/>
              <w:left w:val="single" w:color="auto" w:sz="4" w:space="0"/>
              <w:bottom w:val="single" w:color="auto" w:sz="4" w:space="0"/>
              <w:right w:val="single" w:color="auto" w:sz="4" w:space="0"/>
            </w:tcBorders>
            <w:vAlign w:val="center"/>
          </w:tcPr>
          <w:p w14:paraId="6BE43821">
            <w:pPr>
              <w:widowControl/>
              <w:jc w:val="left"/>
              <w:rPr>
                <w:rFonts w:ascii="宋体" w:hAnsi="宋体"/>
                <w:sz w:val="24"/>
              </w:rPr>
            </w:pPr>
          </w:p>
        </w:tc>
        <w:tc>
          <w:tcPr>
            <w:tcW w:w="999" w:type="dxa"/>
            <w:vMerge w:val="continue"/>
            <w:tcBorders>
              <w:top w:val="single" w:color="auto" w:sz="4" w:space="0"/>
              <w:left w:val="single" w:color="auto" w:sz="4" w:space="0"/>
              <w:bottom w:val="single" w:color="auto" w:sz="4" w:space="0"/>
              <w:right w:val="single" w:color="auto" w:sz="4" w:space="0"/>
            </w:tcBorders>
            <w:vAlign w:val="center"/>
          </w:tcPr>
          <w:p w14:paraId="6753FFB9">
            <w:pPr>
              <w:widowControl/>
              <w:jc w:val="left"/>
              <w:rPr>
                <w:rFonts w:ascii="宋体" w:hAnsi="宋体"/>
                <w:sz w:val="24"/>
              </w:rPr>
            </w:pPr>
          </w:p>
        </w:tc>
        <w:tc>
          <w:tcPr>
            <w:tcW w:w="1887" w:type="dxa"/>
            <w:tcBorders>
              <w:top w:val="single" w:color="auto" w:sz="4" w:space="0"/>
              <w:left w:val="single" w:color="auto" w:sz="4" w:space="0"/>
              <w:bottom w:val="single" w:color="auto" w:sz="4" w:space="0"/>
              <w:right w:val="single" w:color="auto" w:sz="4" w:space="0"/>
            </w:tcBorders>
            <w:vAlign w:val="center"/>
          </w:tcPr>
          <w:p w14:paraId="03D05FE3">
            <w:pPr>
              <w:snapToGrid w:val="0"/>
              <w:jc w:val="center"/>
              <w:rPr>
                <w:rFonts w:ascii="宋体" w:hAnsi="宋体"/>
                <w:sz w:val="24"/>
              </w:rPr>
            </w:pPr>
            <w:r>
              <w:rPr>
                <w:rFonts w:hint="eastAsia" w:ascii="宋体" w:hAnsi="宋体"/>
                <w:sz w:val="24"/>
              </w:rPr>
              <w:t>合同</w:t>
            </w:r>
          </w:p>
        </w:tc>
        <w:tc>
          <w:tcPr>
            <w:tcW w:w="1998" w:type="dxa"/>
            <w:vMerge w:val="continue"/>
            <w:tcBorders>
              <w:top w:val="single" w:color="auto" w:sz="4" w:space="0"/>
              <w:left w:val="single" w:color="auto" w:sz="4" w:space="0"/>
              <w:bottom w:val="single" w:color="auto" w:sz="4" w:space="0"/>
              <w:right w:val="single" w:color="auto" w:sz="4" w:space="0"/>
            </w:tcBorders>
            <w:vAlign w:val="center"/>
          </w:tcPr>
          <w:p w14:paraId="232359B0">
            <w:pPr>
              <w:widowControl/>
              <w:jc w:val="left"/>
              <w:rPr>
                <w:rFonts w:ascii="宋体" w:hAnsi="宋体"/>
                <w:sz w:val="24"/>
              </w:rPr>
            </w:pPr>
          </w:p>
        </w:tc>
      </w:tr>
      <w:tr w14:paraId="736EC9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081" w:type="dxa"/>
            <w:tcBorders>
              <w:top w:val="single" w:color="auto" w:sz="4" w:space="0"/>
              <w:left w:val="single" w:color="auto" w:sz="4" w:space="0"/>
              <w:bottom w:val="single" w:color="auto" w:sz="4" w:space="0"/>
              <w:right w:val="single" w:color="auto" w:sz="4" w:space="0"/>
            </w:tcBorders>
          </w:tcPr>
          <w:p w14:paraId="3FE37F3B">
            <w:pPr>
              <w:snapToGrid w:val="0"/>
              <w:spacing w:before="50" w:after="156" w:afterLines="50" w:line="400" w:lineRule="exact"/>
              <w:jc w:val="left"/>
              <w:rPr>
                <w:rFonts w:ascii="宋体" w:hAnsi="宋体"/>
                <w:sz w:val="24"/>
              </w:rPr>
            </w:pPr>
          </w:p>
        </w:tc>
        <w:tc>
          <w:tcPr>
            <w:tcW w:w="1475" w:type="dxa"/>
            <w:tcBorders>
              <w:top w:val="single" w:color="auto" w:sz="4" w:space="0"/>
              <w:left w:val="single" w:color="auto" w:sz="4" w:space="0"/>
              <w:bottom w:val="single" w:color="auto" w:sz="4" w:space="0"/>
              <w:right w:val="single" w:color="auto" w:sz="4" w:space="0"/>
            </w:tcBorders>
          </w:tcPr>
          <w:p w14:paraId="38A82459">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36F4CDB9">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4689E4C2">
            <w:pPr>
              <w:snapToGrid w:val="0"/>
              <w:spacing w:before="50" w:after="156" w:afterLines="50" w:line="400" w:lineRule="exact"/>
              <w:jc w:val="left"/>
              <w:rPr>
                <w:rFonts w:ascii="宋体" w:hAnsi="宋体"/>
                <w:sz w:val="24"/>
              </w:rPr>
            </w:pPr>
          </w:p>
        </w:tc>
        <w:tc>
          <w:tcPr>
            <w:tcW w:w="999" w:type="dxa"/>
            <w:tcBorders>
              <w:top w:val="single" w:color="auto" w:sz="4" w:space="0"/>
              <w:left w:val="single" w:color="auto" w:sz="4" w:space="0"/>
              <w:bottom w:val="single" w:color="auto" w:sz="4" w:space="0"/>
              <w:right w:val="single" w:color="auto" w:sz="4" w:space="0"/>
            </w:tcBorders>
          </w:tcPr>
          <w:p w14:paraId="6A363AB6">
            <w:pPr>
              <w:snapToGrid w:val="0"/>
              <w:spacing w:before="50" w:after="156" w:afterLines="50" w:line="400" w:lineRule="exact"/>
              <w:jc w:val="left"/>
              <w:rPr>
                <w:rFonts w:ascii="宋体" w:hAnsi="宋体"/>
                <w:sz w:val="24"/>
              </w:rPr>
            </w:pPr>
          </w:p>
        </w:tc>
        <w:tc>
          <w:tcPr>
            <w:tcW w:w="1887" w:type="dxa"/>
            <w:tcBorders>
              <w:top w:val="single" w:color="auto" w:sz="4" w:space="0"/>
              <w:left w:val="single" w:color="auto" w:sz="4" w:space="0"/>
              <w:bottom w:val="single" w:color="auto" w:sz="4" w:space="0"/>
              <w:right w:val="single" w:color="auto" w:sz="4" w:space="0"/>
            </w:tcBorders>
          </w:tcPr>
          <w:p w14:paraId="3DF9C618">
            <w:pPr>
              <w:snapToGrid w:val="0"/>
              <w:spacing w:before="50" w:after="156" w:afterLines="50" w:line="400" w:lineRule="exact"/>
              <w:jc w:val="left"/>
              <w:rPr>
                <w:rFonts w:ascii="宋体" w:hAnsi="宋体"/>
                <w:sz w:val="24"/>
              </w:rPr>
            </w:pPr>
          </w:p>
        </w:tc>
        <w:tc>
          <w:tcPr>
            <w:tcW w:w="1998" w:type="dxa"/>
            <w:tcBorders>
              <w:top w:val="single" w:color="auto" w:sz="4" w:space="0"/>
              <w:left w:val="single" w:color="auto" w:sz="4" w:space="0"/>
              <w:bottom w:val="single" w:color="auto" w:sz="4" w:space="0"/>
              <w:right w:val="single" w:color="auto" w:sz="4" w:space="0"/>
            </w:tcBorders>
          </w:tcPr>
          <w:p w14:paraId="6CA2D9FB">
            <w:pPr>
              <w:snapToGrid w:val="0"/>
              <w:spacing w:before="50" w:after="156" w:afterLines="50" w:line="400" w:lineRule="exact"/>
              <w:jc w:val="left"/>
              <w:rPr>
                <w:rFonts w:ascii="宋体" w:hAnsi="宋体"/>
                <w:sz w:val="24"/>
              </w:rPr>
            </w:pPr>
          </w:p>
        </w:tc>
      </w:tr>
      <w:tr w14:paraId="41241F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1081" w:type="dxa"/>
            <w:tcBorders>
              <w:top w:val="single" w:color="auto" w:sz="4" w:space="0"/>
              <w:left w:val="single" w:color="auto" w:sz="4" w:space="0"/>
              <w:bottom w:val="single" w:color="auto" w:sz="4" w:space="0"/>
              <w:right w:val="single" w:color="auto" w:sz="4" w:space="0"/>
            </w:tcBorders>
          </w:tcPr>
          <w:p w14:paraId="1778D761">
            <w:pPr>
              <w:snapToGrid w:val="0"/>
              <w:spacing w:before="50" w:after="156" w:afterLines="50" w:line="400" w:lineRule="exact"/>
              <w:jc w:val="left"/>
              <w:rPr>
                <w:rFonts w:ascii="宋体" w:hAnsi="宋体"/>
                <w:sz w:val="24"/>
              </w:rPr>
            </w:pPr>
          </w:p>
        </w:tc>
        <w:tc>
          <w:tcPr>
            <w:tcW w:w="1475" w:type="dxa"/>
            <w:tcBorders>
              <w:top w:val="single" w:color="auto" w:sz="4" w:space="0"/>
              <w:left w:val="single" w:color="auto" w:sz="4" w:space="0"/>
              <w:bottom w:val="single" w:color="auto" w:sz="4" w:space="0"/>
              <w:right w:val="single" w:color="auto" w:sz="4" w:space="0"/>
            </w:tcBorders>
          </w:tcPr>
          <w:p w14:paraId="30966274">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182D9ED1">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3F35694B">
            <w:pPr>
              <w:snapToGrid w:val="0"/>
              <w:spacing w:before="50" w:after="156" w:afterLines="50" w:line="400" w:lineRule="exact"/>
              <w:jc w:val="left"/>
              <w:rPr>
                <w:rFonts w:ascii="宋体" w:hAnsi="宋体"/>
                <w:sz w:val="24"/>
              </w:rPr>
            </w:pPr>
          </w:p>
        </w:tc>
        <w:tc>
          <w:tcPr>
            <w:tcW w:w="999" w:type="dxa"/>
            <w:tcBorders>
              <w:top w:val="single" w:color="auto" w:sz="4" w:space="0"/>
              <w:left w:val="single" w:color="auto" w:sz="4" w:space="0"/>
              <w:bottom w:val="single" w:color="auto" w:sz="4" w:space="0"/>
              <w:right w:val="single" w:color="auto" w:sz="4" w:space="0"/>
            </w:tcBorders>
          </w:tcPr>
          <w:p w14:paraId="758EAB46">
            <w:pPr>
              <w:snapToGrid w:val="0"/>
              <w:spacing w:before="50" w:after="156" w:afterLines="50" w:line="400" w:lineRule="exact"/>
              <w:jc w:val="left"/>
              <w:rPr>
                <w:rFonts w:ascii="宋体" w:hAnsi="宋体"/>
                <w:sz w:val="24"/>
              </w:rPr>
            </w:pPr>
          </w:p>
        </w:tc>
        <w:tc>
          <w:tcPr>
            <w:tcW w:w="1887" w:type="dxa"/>
            <w:tcBorders>
              <w:top w:val="single" w:color="auto" w:sz="4" w:space="0"/>
              <w:left w:val="single" w:color="auto" w:sz="4" w:space="0"/>
              <w:bottom w:val="single" w:color="auto" w:sz="4" w:space="0"/>
              <w:right w:val="single" w:color="auto" w:sz="4" w:space="0"/>
            </w:tcBorders>
          </w:tcPr>
          <w:p w14:paraId="6CB05EE4">
            <w:pPr>
              <w:snapToGrid w:val="0"/>
              <w:spacing w:before="50" w:after="156" w:afterLines="50" w:line="400" w:lineRule="exact"/>
              <w:jc w:val="left"/>
              <w:rPr>
                <w:rFonts w:ascii="宋体" w:hAnsi="宋体"/>
                <w:sz w:val="24"/>
              </w:rPr>
            </w:pPr>
          </w:p>
        </w:tc>
        <w:tc>
          <w:tcPr>
            <w:tcW w:w="1998" w:type="dxa"/>
            <w:tcBorders>
              <w:top w:val="single" w:color="auto" w:sz="4" w:space="0"/>
              <w:left w:val="single" w:color="auto" w:sz="4" w:space="0"/>
              <w:bottom w:val="single" w:color="auto" w:sz="4" w:space="0"/>
              <w:right w:val="single" w:color="auto" w:sz="4" w:space="0"/>
            </w:tcBorders>
          </w:tcPr>
          <w:p w14:paraId="35153B16">
            <w:pPr>
              <w:snapToGrid w:val="0"/>
              <w:spacing w:before="50" w:after="156" w:afterLines="50" w:line="400" w:lineRule="exact"/>
              <w:jc w:val="left"/>
              <w:rPr>
                <w:rFonts w:ascii="宋体" w:hAnsi="宋体"/>
                <w:sz w:val="24"/>
              </w:rPr>
            </w:pPr>
          </w:p>
        </w:tc>
      </w:tr>
      <w:tr w14:paraId="1AE574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081" w:type="dxa"/>
            <w:tcBorders>
              <w:top w:val="single" w:color="auto" w:sz="4" w:space="0"/>
              <w:left w:val="single" w:color="auto" w:sz="4" w:space="0"/>
              <w:bottom w:val="single" w:color="auto" w:sz="4" w:space="0"/>
              <w:right w:val="single" w:color="auto" w:sz="4" w:space="0"/>
            </w:tcBorders>
          </w:tcPr>
          <w:p w14:paraId="3926BFF6">
            <w:pPr>
              <w:snapToGrid w:val="0"/>
              <w:spacing w:before="50" w:after="156" w:afterLines="50" w:line="400" w:lineRule="exact"/>
              <w:jc w:val="left"/>
              <w:rPr>
                <w:rFonts w:ascii="宋体" w:hAnsi="宋体"/>
                <w:sz w:val="24"/>
              </w:rPr>
            </w:pPr>
          </w:p>
        </w:tc>
        <w:tc>
          <w:tcPr>
            <w:tcW w:w="1475" w:type="dxa"/>
            <w:tcBorders>
              <w:top w:val="single" w:color="auto" w:sz="4" w:space="0"/>
              <w:left w:val="single" w:color="auto" w:sz="4" w:space="0"/>
              <w:bottom w:val="single" w:color="auto" w:sz="4" w:space="0"/>
              <w:right w:val="single" w:color="auto" w:sz="4" w:space="0"/>
            </w:tcBorders>
          </w:tcPr>
          <w:p w14:paraId="79CDA2E4">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65E70642">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1D77C088">
            <w:pPr>
              <w:snapToGrid w:val="0"/>
              <w:spacing w:before="50" w:after="156" w:afterLines="50" w:line="400" w:lineRule="exact"/>
              <w:jc w:val="left"/>
              <w:rPr>
                <w:rFonts w:ascii="宋体" w:hAnsi="宋体"/>
                <w:sz w:val="24"/>
              </w:rPr>
            </w:pPr>
          </w:p>
        </w:tc>
        <w:tc>
          <w:tcPr>
            <w:tcW w:w="999" w:type="dxa"/>
            <w:tcBorders>
              <w:top w:val="single" w:color="auto" w:sz="4" w:space="0"/>
              <w:left w:val="single" w:color="auto" w:sz="4" w:space="0"/>
              <w:bottom w:val="single" w:color="auto" w:sz="4" w:space="0"/>
              <w:right w:val="single" w:color="auto" w:sz="4" w:space="0"/>
            </w:tcBorders>
          </w:tcPr>
          <w:p w14:paraId="659BC14C">
            <w:pPr>
              <w:snapToGrid w:val="0"/>
              <w:spacing w:before="50" w:after="156" w:afterLines="50" w:line="400" w:lineRule="exact"/>
              <w:jc w:val="left"/>
              <w:rPr>
                <w:rFonts w:ascii="宋体" w:hAnsi="宋体"/>
                <w:sz w:val="24"/>
              </w:rPr>
            </w:pPr>
          </w:p>
        </w:tc>
        <w:tc>
          <w:tcPr>
            <w:tcW w:w="1887" w:type="dxa"/>
            <w:tcBorders>
              <w:top w:val="single" w:color="auto" w:sz="4" w:space="0"/>
              <w:left w:val="single" w:color="auto" w:sz="4" w:space="0"/>
              <w:bottom w:val="single" w:color="auto" w:sz="4" w:space="0"/>
              <w:right w:val="single" w:color="auto" w:sz="4" w:space="0"/>
            </w:tcBorders>
          </w:tcPr>
          <w:p w14:paraId="0EDD4D49">
            <w:pPr>
              <w:snapToGrid w:val="0"/>
              <w:spacing w:before="50" w:after="156" w:afterLines="50" w:line="400" w:lineRule="exact"/>
              <w:jc w:val="left"/>
              <w:rPr>
                <w:rFonts w:ascii="宋体" w:hAnsi="宋体"/>
                <w:sz w:val="24"/>
              </w:rPr>
            </w:pPr>
          </w:p>
        </w:tc>
        <w:tc>
          <w:tcPr>
            <w:tcW w:w="1998" w:type="dxa"/>
            <w:tcBorders>
              <w:top w:val="single" w:color="auto" w:sz="4" w:space="0"/>
              <w:left w:val="single" w:color="auto" w:sz="4" w:space="0"/>
              <w:bottom w:val="single" w:color="auto" w:sz="4" w:space="0"/>
              <w:right w:val="single" w:color="auto" w:sz="4" w:space="0"/>
            </w:tcBorders>
          </w:tcPr>
          <w:p w14:paraId="7FEE70CA">
            <w:pPr>
              <w:snapToGrid w:val="0"/>
              <w:spacing w:before="50" w:after="156" w:afterLines="50" w:line="400" w:lineRule="exact"/>
              <w:jc w:val="left"/>
              <w:rPr>
                <w:rFonts w:ascii="宋体" w:hAnsi="宋体"/>
                <w:sz w:val="24"/>
              </w:rPr>
            </w:pPr>
          </w:p>
        </w:tc>
      </w:tr>
      <w:tr w14:paraId="78CE87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1081" w:type="dxa"/>
            <w:tcBorders>
              <w:top w:val="single" w:color="auto" w:sz="4" w:space="0"/>
              <w:left w:val="single" w:color="auto" w:sz="4" w:space="0"/>
              <w:bottom w:val="single" w:color="auto" w:sz="4" w:space="0"/>
              <w:right w:val="single" w:color="auto" w:sz="4" w:space="0"/>
            </w:tcBorders>
          </w:tcPr>
          <w:p w14:paraId="49D8E33E">
            <w:pPr>
              <w:snapToGrid w:val="0"/>
              <w:spacing w:before="50" w:after="156" w:afterLines="50" w:line="400" w:lineRule="exact"/>
              <w:jc w:val="left"/>
              <w:rPr>
                <w:rFonts w:ascii="宋体" w:hAnsi="宋体"/>
                <w:sz w:val="24"/>
              </w:rPr>
            </w:pPr>
          </w:p>
        </w:tc>
        <w:tc>
          <w:tcPr>
            <w:tcW w:w="1475" w:type="dxa"/>
            <w:tcBorders>
              <w:top w:val="single" w:color="auto" w:sz="4" w:space="0"/>
              <w:left w:val="single" w:color="auto" w:sz="4" w:space="0"/>
              <w:bottom w:val="single" w:color="auto" w:sz="4" w:space="0"/>
              <w:right w:val="single" w:color="auto" w:sz="4" w:space="0"/>
            </w:tcBorders>
          </w:tcPr>
          <w:p w14:paraId="5BC885D3">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6FEC3E00">
            <w:pPr>
              <w:snapToGrid w:val="0"/>
              <w:spacing w:before="50" w:after="156" w:afterLines="50" w:line="400" w:lineRule="exact"/>
              <w:jc w:val="left"/>
              <w:rPr>
                <w:rFonts w:ascii="宋体" w:hAnsi="宋体"/>
                <w:sz w:val="24"/>
              </w:rPr>
            </w:pPr>
          </w:p>
        </w:tc>
        <w:tc>
          <w:tcPr>
            <w:tcW w:w="888" w:type="dxa"/>
            <w:tcBorders>
              <w:top w:val="single" w:color="auto" w:sz="4" w:space="0"/>
              <w:left w:val="single" w:color="auto" w:sz="4" w:space="0"/>
              <w:bottom w:val="single" w:color="auto" w:sz="4" w:space="0"/>
              <w:right w:val="single" w:color="auto" w:sz="4" w:space="0"/>
            </w:tcBorders>
          </w:tcPr>
          <w:p w14:paraId="68C6C4DB">
            <w:pPr>
              <w:snapToGrid w:val="0"/>
              <w:spacing w:before="50" w:after="156" w:afterLines="50" w:line="400" w:lineRule="exact"/>
              <w:jc w:val="left"/>
              <w:rPr>
                <w:rFonts w:ascii="宋体" w:hAnsi="宋体"/>
                <w:sz w:val="24"/>
              </w:rPr>
            </w:pPr>
          </w:p>
        </w:tc>
        <w:tc>
          <w:tcPr>
            <w:tcW w:w="999" w:type="dxa"/>
            <w:tcBorders>
              <w:top w:val="single" w:color="auto" w:sz="4" w:space="0"/>
              <w:left w:val="single" w:color="auto" w:sz="4" w:space="0"/>
              <w:bottom w:val="single" w:color="auto" w:sz="4" w:space="0"/>
              <w:right w:val="single" w:color="auto" w:sz="4" w:space="0"/>
            </w:tcBorders>
          </w:tcPr>
          <w:p w14:paraId="6E0D77D8">
            <w:pPr>
              <w:snapToGrid w:val="0"/>
              <w:spacing w:before="50" w:after="156" w:afterLines="50" w:line="400" w:lineRule="exact"/>
              <w:jc w:val="left"/>
              <w:rPr>
                <w:rFonts w:ascii="宋体" w:hAnsi="宋体"/>
                <w:sz w:val="24"/>
              </w:rPr>
            </w:pPr>
          </w:p>
        </w:tc>
        <w:tc>
          <w:tcPr>
            <w:tcW w:w="1887" w:type="dxa"/>
            <w:tcBorders>
              <w:top w:val="single" w:color="auto" w:sz="4" w:space="0"/>
              <w:left w:val="single" w:color="auto" w:sz="4" w:space="0"/>
              <w:bottom w:val="single" w:color="auto" w:sz="4" w:space="0"/>
              <w:right w:val="single" w:color="auto" w:sz="4" w:space="0"/>
            </w:tcBorders>
          </w:tcPr>
          <w:p w14:paraId="4F92C12C">
            <w:pPr>
              <w:snapToGrid w:val="0"/>
              <w:spacing w:before="50" w:after="156" w:afterLines="50" w:line="400" w:lineRule="exact"/>
              <w:jc w:val="left"/>
              <w:rPr>
                <w:rFonts w:ascii="宋体" w:hAnsi="宋体"/>
                <w:sz w:val="24"/>
              </w:rPr>
            </w:pPr>
          </w:p>
        </w:tc>
        <w:tc>
          <w:tcPr>
            <w:tcW w:w="1998" w:type="dxa"/>
            <w:tcBorders>
              <w:top w:val="single" w:color="auto" w:sz="4" w:space="0"/>
              <w:left w:val="single" w:color="auto" w:sz="4" w:space="0"/>
              <w:bottom w:val="single" w:color="auto" w:sz="4" w:space="0"/>
              <w:right w:val="single" w:color="auto" w:sz="4" w:space="0"/>
            </w:tcBorders>
          </w:tcPr>
          <w:p w14:paraId="69615927">
            <w:pPr>
              <w:snapToGrid w:val="0"/>
              <w:spacing w:before="50" w:after="156" w:afterLines="50" w:line="400" w:lineRule="exact"/>
              <w:jc w:val="left"/>
              <w:rPr>
                <w:rFonts w:ascii="宋体" w:hAnsi="宋体"/>
                <w:sz w:val="24"/>
              </w:rPr>
            </w:pPr>
          </w:p>
        </w:tc>
      </w:tr>
    </w:tbl>
    <w:p w14:paraId="12E5B7A4">
      <w:pPr>
        <w:autoSpaceDE w:val="0"/>
        <w:autoSpaceDN w:val="0"/>
        <w:adjustRightInd w:val="0"/>
        <w:spacing w:before="156" w:beforeLines="50" w:line="360" w:lineRule="auto"/>
        <w:rPr>
          <w:rFonts w:ascii="宋体" w:hAnsi="宋体" w:cs="Arial"/>
          <w:b/>
          <w:szCs w:val="21"/>
        </w:rPr>
      </w:pPr>
      <w:r>
        <w:rPr>
          <w:rFonts w:hint="eastAsia" w:ascii="宋体" w:hAnsi="宋体" w:cs="Arial"/>
          <w:b/>
          <w:szCs w:val="21"/>
        </w:rPr>
        <w:t>要求</w:t>
      </w:r>
      <w:r>
        <w:rPr>
          <w:rFonts w:ascii="宋体" w:hAnsi="宋体" w:cs="Arial"/>
          <w:b/>
          <w:szCs w:val="21"/>
        </w:rPr>
        <w:t>：</w:t>
      </w:r>
    </w:p>
    <w:p w14:paraId="6FA7D4B7">
      <w:pPr>
        <w:autoSpaceDE w:val="0"/>
        <w:autoSpaceDN w:val="0"/>
        <w:adjustRightInd w:val="0"/>
        <w:spacing w:before="156" w:beforeLines="50" w:line="360" w:lineRule="auto"/>
        <w:ind w:firstLine="424" w:firstLineChars="202"/>
        <w:rPr>
          <w:rFonts w:ascii="宋体" w:hAnsi="宋体" w:cs="Arial"/>
          <w:b/>
          <w:szCs w:val="21"/>
        </w:rPr>
      </w:pPr>
      <w:r>
        <w:rPr>
          <w:rFonts w:ascii="宋体" w:hAnsi="宋体" w:cs="Arial"/>
          <w:szCs w:val="21"/>
        </w:rPr>
        <w:t>1</w:t>
      </w:r>
      <w:r>
        <w:rPr>
          <w:rFonts w:hint="eastAsia" w:ascii="宋体" w:hAnsi="宋体" w:cs="Arial"/>
          <w:szCs w:val="21"/>
        </w:rPr>
        <w:t>.</w:t>
      </w:r>
      <w:r>
        <w:rPr>
          <w:rFonts w:ascii="宋体" w:hAnsi="宋体" w:cs="Arial"/>
          <w:szCs w:val="21"/>
        </w:rPr>
        <w:t>业绩证明应提供证明材料</w:t>
      </w:r>
      <w:r>
        <w:rPr>
          <w:rFonts w:ascii="宋体" w:hAnsi="宋体" w:cs="Arial"/>
          <w:b/>
          <w:szCs w:val="21"/>
        </w:rPr>
        <w:t>（</w:t>
      </w:r>
      <w:r>
        <w:rPr>
          <w:rFonts w:hint="eastAsia" w:ascii="宋体" w:hAnsi="宋体" w:cs="Arial"/>
          <w:b/>
          <w:szCs w:val="21"/>
        </w:rPr>
        <w:t>按磋商文件第四章“评审办法、评分标准”要求提供</w:t>
      </w:r>
      <w:r>
        <w:rPr>
          <w:rFonts w:ascii="宋体" w:hAnsi="宋体" w:cs="Arial"/>
          <w:b/>
          <w:szCs w:val="21"/>
        </w:rPr>
        <w:t>）</w:t>
      </w:r>
      <w:r>
        <w:rPr>
          <w:rFonts w:hint="eastAsia" w:ascii="宋体" w:hAnsi="宋体" w:cs="Arial"/>
          <w:b/>
          <w:szCs w:val="21"/>
        </w:rPr>
        <w:t>。</w:t>
      </w:r>
    </w:p>
    <w:p w14:paraId="7B1B3AE7">
      <w:pPr>
        <w:spacing w:line="360" w:lineRule="auto"/>
        <w:ind w:firstLine="424" w:firstLineChars="202"/>
        <w:jc w:val="left"/>
        <w:rPr>
          <w:rFonts w:ascii="宋体" w:hAnsi="宋体" w:cs="Arial"/>
          <w:szCs w:val="21"/>
        </w:rPr>
      </w:pPr>
      <w:r>
        <w:rPr>
          <w:rFonts w:hint="eastAsia" w:ascii="宋体" w:hAnsi="宋体" w:cs="Arial"/>
          <w:szCs w:val="21"/>
        </w:rPr>
        <w:t>2.供应商</w:t>
      </w:r>
      <w:r>
        <w:rPr>
          <w:rFonts w:ascii="宋体" w:hAnsi="宋体" w:cs="Arial"/>
          <w:szCs w:val="21"/>
        </w:rPr>
        <w:t>可按此表格式复制</w:t>
      </w:r>
      <w:r>
        <w:rPr>
          <w:rFonts w:hint="eastAsia" w:ascii="宋体" w:hAnsi="宋体" w:cs="Arial"/>
          <w:szCs w:val="21"/>
        </w:rPr>
        <w:t>。</w:t>
      </w:r>
    </w:p>
    <w:p w14:paraId="3CAD6592">
      <w:pPr>
        <w:spacing w:line="320" w:lineRule="exact"/>
        <w:ind w:left="420"/>
        <w:rPr>
          <w:rFonts w:ascii="宋体" w:hAnsi="宋体"/>
          <w:szCs w:val="21"/>
        </w:rPr>
      </w:pPr>
      <w:r>
        <w:rPr>
          <w:rFonts w:hint="eastAsia" w:ascii="宋体" w:hAnsi="宋体" w:cs="Arial"/>
          <w:szCs w:val="21"/>
        </w:rPr>
        <w:t>3.</w:t>
      </w:r>
      <w:r>
        <w:rPr>
          <w:rFonts w:hint="eastAsia" w:ascii="宋体" w:hAnsi="宋体"/>
          <w:b/>
          <w:bCs/>
          <w:szCs w:val="21"/>
        </w:rPr>
        <w:t>本表如跨页，需每页加盖供应商公章</w:t>
      </w:r>
      <w:r>
        <w:rPr>
          <w:rFonts w:hint="eastAsia" w:ascii="宋体" w:hAnsi="宋体"/>
          <w:szCs w:val="21"/>
        </w:rPr>
        <w:t>。</w:t>
      </w:r>
    </w:p>
    <w:p w14:paraId="4FFCC81C">
      <w:pPr>
        <w:widowControl/>
        <w:jc w:val="left"/>
        <w:rPr>
          <w:rFonts w:ascii="宋体" w:hAnsi="宋体"/>
          <w:b/>
          <w:sz w:val="28"/>
          <w:szCs w:val="28"/>
        </w:rPr>
      </w:pPr>
    </w:p>
    <w:p w14:paraId="04489D8D">
      <w:pPr>
        <w:spacing w:line="360" w:lineRule="auto"/>
        <w:ind w:left="420"/>
        <w:rPr>
          <w:rFonts w:ascii="宋体" w:hAnsi="宋体"/>
          <w:sz w:val="24"/>
          <w:u w:val="single"/>
        </w:rPr>
      </w:pPr>
      <w:r>
        <w:rPr>
          <w:rFonts w:hint="eastAsia" w:ascii="宋体" w:hAnsi="宋体"/>
          <w:sz w:val="24"/>
        </w:rPr>
        <w:t>磋商供应商名称（盖章）：</w:t>
      </w:r>
    </w:p>
    <w:p w14:paraId="575D6A6F">
      <w:pPr>
        <w:spacing w:line="360" w:lineRule="auto"/>
        <w:ind w:firstLine="435"/>
        <w:rPr>
          <w:rFonts w:ascii="宋体" w:hAnsi="宋体"/>
          <w:sz w:val="24"/>
        </w:rPr>
      </w:pPr>
      <w:r>
        <w:rPr>
          <w:rFonts w:hint="eastAsia" w:ascii="宋体" w:hAnsi="宋体"/>
          <w:sz w:val="24"/>
        </w:rPr>
        <w:t>磋商供应商法定代表人或授权代表（签字或盖章）：</w:t>
      </w:r>
    </w:p>
    <w:p w14:paraId="5EF57957">
      <w:pPr>
        <w:spacing w:line="320" w:lineRule="exact"/>
        <w:ind w:firstLine="435"/>
        <w:rPr>
          <w:rFonts w:ascii="宋体" w:hAnsi="宋体"/>
          <w:sz w:val="24"/>
        </w:rPr>
      </w:pPr>
      <w:r>
        <w:rPr>
          <w:rFonts w:hint="eastAsia" w:ascii="宋体" w:hAnsi="宋体"/>
          <w:sz w:val="24"/>
        </w:rPr>
        <w:t>日        期：</w:t>
      </w:r>
    </w:p>
    <w:p w14:paraId="364C07F7">
      <w:pPr>
        <w:spacing w:line="360" w:lineRule="auto"/>
        <w:rPr>
          <w:rFonts w:ascii="宋体" w:hAnsi="宋体"/>
          <w:b/>
          <w:sz w:val="28"/>
        </w:rPr>
      </w:pPr>
    </w:p>
    <w:p w14:paraId="0694293A">
      <w:pPr>
        <w:pStyle w:val="13"/>
      </w:pPr>
    </w:p>
    <w:p w14:paraId="5434A99F">
      <w:pPr>
        <w:pStyle w:val="28"/>
        <w:ind w:firstLine="200"/>
      </w:pPr>
    </w:p>
    <w:p w14:paraId="54DAE9E7">
      <w:pPr>
        <w:pStyle w:val="22"/>
      </w:pPr>
    </w:p>
    <w:p w14:paraId="3EFF2516"/>
    <w:p w14:paraId="512A7992">
      <w:pPr>
        <w:pStyle w:val="13"/>
      </w:pPr>
    </w:p>
    <w:p w14:paraId="70ED8614">
      <w:pPr>
        <w:pStyle w:val="28"/>
        <w:ind w:firstLine="200"/>
      </w:pPr>
    </w:p>
    <w:p w14:paraId="7516ADF0">
      <w:pPr>
        <w:pStyle w:val="22"/>
      </w:pPr>
    </w:p>
    <w:p w14:paraId="0D598DAF">
      <w:pPr>
        <w:pStyle w:val="13"/>
      </w:pPr>
    </w:p>
    <w:p w14:paraId="7206F413">
      <w:pPr>
        <w:snapToGrid w:val="0"/>
        <w:spacing w:before="50" w:after="50" w:line="360" w:lineRule="auto"/>
        <w:ind w:firstLine="422" w:firstLineChars="150"/>
        <w:rPr>
          <w:rFonts w:ascii="宋体" w:hAnsi="宋体"/>
          <w:b/>
          <w:sz w:val="28"/>
        </w:rPr>
      </w:pPr>
      <w:r>
        <w:rPr>
          <w:rFonts w:hint="eastAsia" w:ascii="宋体" w:hAnsi="宋体"/>
          <w:b/>
          <w:sz w:val="28"/>
        </w:rPr>
        <w:t>附件10</w:t>
      </w:r>
    </w:p>
    <w:p w14:paraId="6CF62964">
      <w:pPr>
        <w:snapToGrid w:val="0"/>
        <w:spacing w:before="156" w:beforeLines="50" w:after="50"/>
        <w:jc w:val="center"/>
        <w:rPr>
          <w:rFonts w:ascii="宋体" w:hAnsi="宋体"/>
          <w:b/>
          <w:sz w:val="36"/>
          <w:szCs w:val="36"/>
        </w:rPr>
      </w:pPr>
      <w:r>
        <w:rPr>
          <w:rFonts w:hint="eastAsia" w:ascii="宋体" w:hAnsi="宋体"/>
          <w:b/>
          <w:sz w:val="32"/>
          <w:szCs w:val="32"/>
        </w:rPr>
        <w:t>项目组成员一览表</w:t>
      </w:r>
    </w:p>
    <w:tbl>
      <w:tblPr>
        <w:tblStyle w:val="30"/>
        <w:tblW w:w="8898" w:type="dxa"/>
        <w:tblInd w:w="-14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5"/>
        <w:gridCol w:w="567"/>
        <w:gridCol w:w="1559"/>
        <w:gridCol w:w="709"/>
        <w:gridCol w:w="1134"/>
        <w:gridCol w:w="1417"/>
        <w:gridCol w:w="1134"/>
        <w:gridCol w:w="1843"/>
      </w:tblGrid>
      <w:tr w14:paraId="2C3F31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vAlign w:val="center"/>
          </w:tcPr>
          <w:p w14:paraId="0D5078EF">
            <w:pPr>
              <w:snapToGrid w:val="0"/>
              <w:spacing w:before="156" w:beforeLines="50" w:after="50"/>
              <w:jc w:val="center"/>
              <w:rPr>
                <w:rFonts w:ascii="宋体" w:hAnsi="宋体"/>
                <w:b/>
                <w:szCs w:val="21"/>
              </w:rPr>
            </w:pPr>
            <w:r>
              <w:rPr>
                <w:rFonts w:hint="eastAsia" w:ascii="宋体" w:hAnsi="宋体"/>
                <w:b/>
                <w:szCs w:val="21"/>
              </w:rPr>
              <w:t>序号</w:t>
            </w:r>
          </w:p>
        </w:tc>
        <w:tc>
          <w:tcPr>
            <w:tcW w:w="567" w:type="dxa"/>
            <w:tcBorders>
              <w:top w:val="single" w:color="auto" w:sz="4" w:space="0"/>
              <w:left w:val="single" w:color="auto" w:sz="4" w:space="0"/>
              <w:bottom w:val="single" w:color="auto" w:sz="4" w:space="0"/>
              <w:right w:val="single" w:color="auto" w:sz="4" w:space="0"/>
            </w:tcBorders>
            <w:vAlign w:val="center"/>
          </w:tcPr>
          <w:p w14:paraId="4D97A113">
            <w:pPr>
              <w:snapToGrid w:val="0"/>
              <w:spacing w:before="156" w:beforeLines="50" w:after="50"/>
              <w:jc w:val="center"/>
              <w:rPr>
                <w:rFonts w:ascii="宋体" w:hAnsi="宋体"/>
                <w:b/>
                <w:szCs w:val="21"/>
              </w:rPr>
            </w:pPr>
            <w:r>
              <w:rPr>
                <w:rFonts w:hint="eastAsia" w:ascii="宋体" w:hAnsi="宋体"/>
                <w:b/>
                <w:szCs w:val="21"/>
              </w:rPr>
              <w:t>姓名</w:t>
            </w:r>
          </w:p>
        </w:tc>
        <w:tc>
          <w:tcPr>
            <w:tcW w:w="1559" w:type="dxa"/>
            <w:tcBorders>
              <w:top w:val="single" w:color="auto" w:sz="4" w:space="0"/>
              <w:left w:val="single" w:color="auto" w:sz="4" w:space="0"/>
              <w:bottom w:val="single" w:color="auto" w:sz="4" w:space="0"/>
              <w:right w:val="single" w:color="auto" w:sz="4" w:space="0"/>
            </w:tcBorders>
            <w:vAlign w:val="center"/>
          </w:tcPr>
          <w:p w14:paraId="4BB6D19A">
            <w:pPr>
              <w:snapToGrid w:val="0"/>
              <w:spacing w:before="156" w:beforeLines="50" w:after="50"/>
              <w:jc w:val="center"/>
              <w:rPr>
                <w:rFonts w:ascii="宋体" w:hAnsi="宋体"/>
                <w:b/>
                <w:szCs w:val="21"/>
              </w:rPr>
            </w:pPr>
            <w:r>
              <w:rPr>
                <w:rFonts w:hint="eastAsia" w:ascii="宋体" w:hAnsi="宋体"/>
                <w:b/>
                <w:szCs w:val="21"/>
              </w:rPr>
              <w:t>在本项目中拟任职务</w:t>
            </w:r>
          </w:p>
        </w:tc>
        <w:tc>
          <w:tcPr>
            <w:tcW w:w="709" w:type="dxa"/>
            <w:tcBorders>
              <w:top w:val="single" w:color="auto" w:sz="4" w:space="0"/>
              <w:left w:val="single" w:color="auto" w:sz="4" w:space="0"/>
              <w:bottom w:val="single" w:color="auto" w:sz="4" w:space="0"/>
              <w:right w:val="single" w:color="auto" w:sz="4" w:space="0"/>
            </w:tcBorders>
            <w:vAlign w:val="center"/>
          </w:tcPr>
          <w:p w14:paraId="7F7EB7F9">
            <w:pPr>
              <w:snapToGrid w:val="0"/>
              <w:spacing w:before="156" w:beforeLines="50" w:after="50"/>
              <w:jc w:val="center"/>
              <w:rPr>
                <w:rFonts w:ascii="宋体" w:hAnsi="宋体"/>
                <w:b/>
                <w:szCs w:val="21"/>
              </w:rPr>
            </w:pPr>
            <w:r>
              <w:rPr>
                <w:rFonts w:hint="eastAsia" w:ascii="宋体" w:hAnsi="宋体"/>
                <w:b/>
                <w:szCs w:val="21"/>
              </w:rPr>
              <w:t>学历</w:t>
            </w:r>
          </w:p>
        </w:tc>
        <w:tc>
          <w:tcPr>
            <w:tcW w:w="1134" w:type="dxa"/>
            <w:tcBorders>
              <w:top w:val="single" w:color="auto" w:sz="4" w:space="0"/>
              <w:left w:val="single" w:color="auto" w:sz="4" w:space="0"/>
              <w:bottom w:val="single" w:color="auto" w:sz="4" w:space="0"/>
              <w:right w:val="single" w:color="auto" w:sz="4" w:space="0"/>
            </w:tcBorders>
            <w:vAlign w:val="center"/>
          </w:tcPr>
          <w:p w14:paraId="21203AA2">
            <w:pPr>
              <w:snapToGrid w:val="0"/>
              <w:spacing w:before="156" w:beforeLines="50" w:after="50"/>
              <w:jc w:val="center"/>
              <w:rPr>
                <w:rFonts w:ascii="宋体" w:hAnsi="宋体"/>
                <w:b/>
                <w:szCs w:val="21"/>
              </w:rPr>
            </w:pPr>
            <w:r>
              <w:rPr>
                <w:rFonts w:hint="eastAsia" w:ascii="宋体" w:hAnsi="宋体"/>
                <w:b/>
                <w:szCs w:val="21"/>
              </w:rPr>
              <w:t>专业技术资格</w:t>
            </w:r>
          </w:p>
        </w:tc>
        <w:tc>
          <w:tcPr>
            <w:tcW w:w="1417" w:type="dxa"/>
            <w:tcBorders>
              <w:top w:val="single" w:color="auto" w:sz="4" w:space="0"/>
              <w:left w:val="single" w:color="auto" w:sz="4" w:space="0"/>
              <w:bottom w:val="single" w:color="auto" w:sz="4" w:space="0"/>
              <w:right w:val="single" w:color="auto" w:sz="4" w:space="0"/>
            </w:tcBorders>
            <w:vAlign w:val="center"/>
          </w:tcPr>
          <w:p w14:paraId="1EDD761C">
            <w:pPr>
              <w:snapToGrid w:val="0"/>
              <w:spacing w:before="156" w:beforeLines="50" w:after="50"/>
              <w:jc w:val="center"/>
              <w:rPr>
                <w:rFonts w:ascii="宋体" w:hAnsi="宋体"/>
                <w:b/>
                <w:szCs w:val="21"/>
              </w:rPr>
            </w:pPr>
            <w:r>
              <w:rPr>
                <w:rFonts w:hint="eastAsia" w:ascii="宋体" w:hAnsi="宋体"/>
                <w:b/>
                <w:szCs w:val="21"/>
              </w:rPr>
              <w:t>证书编号</w:t>
            </w:r>
          </w:p>
        </w:tc>
        <w:tc>
          <w:tcPr>
            <w:tcW w:w="1134" w:type="dxa"/>
            <w:tcBorders>
              <w:top w:val="single" w:color="auto" w:sz="4" w:space="0"/>
              <w:left w:val="single" w:color="auto" w:sz="4" w:space="0"/>
              <w:bottom w:val="single" w:color="auto" w:sz="4" w:space="0"/>
              <w:right w:val="single" w:color="auto" w:sz="4" w:space="0"/>
            </w:tcBorders>
            <w:vAlign w:val="center"/>
          </w:tcPr>
          <w:p w14:paraId="73F934F1">
            <w:pPr>
              <w:snapToGrid w:val="0"/>
              <w:spacing w:before="156" w:beforeLines="50" w:after="50"/>
              <w:jc w:val="center"/>
              <w:rPr>
                <w:rFonts w:ascii="宋体" w:hAnsi="宋体"/>
                <w:b/>
                <w:bCs/>
                <w:szCs w:val="21"/>
              </w:rPr>
            </w:pPr>
            <w:r>
              <w:rPr>
                <w:rFonts w:hint="eastAsia" w:ascii="宋体" w:hAnsi="宋体"/>
                <w:b/>
                <w:bCs/>
                <w:szCs w:val="21"/>
              </w:rPr>
              <w:t>参加本单位工作时间</w:t>
            </w:r>
          </w:p>
        </w:tc>
        <w:tc>
          <w:tcPr>
            <w:tcW w:w="1843" w:type="dxa"/>
            <w:tcBorders>
              <w:top w:val="single" w:color="auto" w:sz="4" w:space="0"/>
              <w:left w:val="single" w:color="auto" w:sz="4" w:space="0"/>
              <w:bottom w:val="single" w:color="auto" w:sz="4" w:space="0"/>
              <w:right w:val="single" w:color="auto" w:sz="4" w:space="0"/>
            </w:tcBorders>
            <w:vAlign w:val="center"/>
          </w:tcPr>
          <w:p w14:paraId="31C828AE">
            <w:pPr>
              <w:snapToGrid w:val="0"/>
              <w:spacing w:before="156" w:beforeLines="50" w:after="50"/>
              <w:jc w:val="center"/>
              <w:rPr>
                <w:rFonts w:ascii="宋体" w:hAnsi="宋体"/>
                <w:b/>
                <w:bCs/>
                <w:szCs w:val="21"/>
              </w:rPr>
            </w:pPr>
            <w:r>
              <w:rPr>
                <w:rFonts w:hint="eastAsia" w:ascii="宋体" w:hAnsi="宋体"/>
                <w:b/>
                <w:szCs w:val="21"/>
              </w:rPr>
              <w:t>备注</w:t>
            </w:r>
          </w:p>
        </w:tc>
      </w:tr>
      <w:tr w14:paraId="7E61BF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98100AE">
            <w:pPr>
              <w:snapToGrid w:val="0"/>
              <w:spacing w:before="156" w:beforeLines="50" w:after="50"/>
              <w:rPr>
                <w:rFonts w:ascii="宋体" w:hAnsi="宋体"/>
                <w:sz w:val="18"/>
                <w:szCs w:val="18"/>
              </w:rPr>
            </w:pPr>
            <w:r>
              <w:rPr>
                <w:rFonts w:hint="eastAsia" w:ascii="宋体" w:hAnsi="宋体"/>
                <w:sz w:val="18"/>
                <w:szCs w:val="18"/>
              </w:rPr>
              <w:t>1</w:t>
            </w:r>
          </w:p>
        </w:tc>
        <w:tc>
          <w:tcPr>
            <w:tcW w:w="567" w:type="dxa"/>
            <w:tcBorders>
              <w:top w:val="single" w:color="auto" w:sz="4" w:space="0"/>
              <w:left w:val="single" w:color="auto" w:sz="4" w:space="0"/>
              <w:bottom w:val="single" w:color="auto" w:sz="4" w:space="0"/>
              <w:right w:val="single" w:color="auto" w:sz="4" w:space="0"/>
            </w:tcBorders>
          </w:tcPr>
          <w:p w14:paraId="6E0D44CB">
            <w:pPr>
              <w:snapToGrid w:val="0"/>
              <w:spacing w:before="156" w:beforeLines="50" w:after="50"/>
              <w:rPr>
                <w:rFonts w:ascii="宋体" w:hAnsi="宋体"/>
                <w:sz w:val="18"/>
                <w:szCs w:val="18"/>
              </w:rPr>
            </w:pPr>
          </w:p>
        </w:tc>
        <w:tc>
          <w:tcPr>
            <w:tcW w:w="1559" w:type="dxa"/>
            <w:tcBorders>
              <w:top w:val="single" w:color="auto" w:sz="4" w:space="0"/>
              <w:left w:val="single" w:color="auto" w:sz="4" w:space="0"/>
              <w:bottom w:val="single" w:color="auto" w:sz="4" w:space="0"/>
              <w:right w:val="single" w:color="auto" w:sz="4" w:space="0"/>
            </w:tcBorders>
          </w:tcPr>
          <w:p w14:paraId="28316DA8">
            <w:pPr>
              <w:snapToGrid w:val="0"/>
              <w:spacing w:before="156" w:beforeLines="50" w:after="50"/>
              <w:rPr>
                <w:rFonts w:ascii="宋体" w:hAnsi="宋体"/>
                <w:sz w:val="18"/>
                <w:szCs w:val="18"/>
              </w:rPr>
            </w:pPr>
          </w:p>
        </w:tc>
        <w:tc>
          <w:tcPr>
            <w:tcW w:w="709" w:type="dxa"/>
            <w:tcBorders>
              <w:top w:val="single" w:color="auto" w:sz="4" w:space="0"/>
              <w:left w:val="single" w:color="auto" w:sz="4" w:space="0"/>
              <w:bottom w:val="single" w:color="auto" w:sz="4" w:space="0"/>
              <w:right w:val="single" w:color="auto" w:sz="4" w:space="0"/>
            </w:tcBorders>
          </w:tcPr>
          <w:p w14:paraId="14E105AB">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51E98682">
            <w:pPr>
              <w:snapToGrid w:val="0"/>
              <w:spacing w:before="156" w:beforeLines="50" w:after="50"/>
              <w:rPr>
                <w:rFonts w:ascii="宋体" w:hAnsi="宋体"/>
                <w:sz w:val="18"/>
                <w:szCs w:val="18"/>
              </w:rPr>
            </w:pPr>
          </w:p>
        </w:tc>
        <w:tc>
          <w:tcPr>
            <w:tcW w:w="1417" w:type="dxa"/>
            <w:tcBorders>
              <w:top w:val="single" w:color="auto" w:sz="4" w:space="0"/>
              <w:left w:val="single" w:color="auto" w:sz="4" w:space="0"/>
              <w:bottom w:val="single" w:color="auto" w:sz="4" w:space="0"/>
              <w:right w:val="single" w:color="auto" w:sz="4" w:space="0"/>
            </w:tcBorders>
          </w:tcPr>
          <w:p w14:paraId="02C9398E">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5294A415">
            <w:pPr>
              <w:snapToGrid w:val="0"/>
              <w:spacing w:before="156" w:beforeLines="50" w:after="50"/>
              <w:rPr>
                <w:rFonts w:ascii="宋体" w:hAnsi="宋体"/>
                <w:sz w:val="18"/>
                <w:szCs w:val="18"/>
              </w:rPr>
            </w:pPr>
          </w:p>
        </w:tc>
        <w:tc>
          <w:tcPr>
            <w:tcW w:w="1843" w:type="dxa"/>
            <w:tcBorders>
              <w:top w:val="single" w:color="auto" w:sz="4" w:space="0"/>
              <w:left w:val="single" w:color="auto" w:sz="4" w:space="0"/>
              <w:bottom w:val="single" w:color="auto" w:sz="4" w:space="0"/>
              <w:right w:val="single" w:color="auto" w:sz="4" w:space="0"/>
            </w:tcBorders>
          </w:tcPr>
          <w:p w14:paraId="158F84E3">
            <w:pPr>
              <w:snapToGrid w:val="0"/>
              <w:spacing w:before="156" w:beforeLines="50" w:after="50"/>
              <w:rPr>
                <w:rFonts w:ascii="宋体" w:hAnsi="宋体"/>
                <w:sz w:val="18"/>
                <w:szCs w:val="18"/>
              </w:rPr>
            </w:pPr>
          </w:p>
        </w:tc>
      </w:tr>
      <w:tr w14:paraId="45834C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938DAE8">
            <w:pPr>
              <w:snapToGrid w:val="0"/>
              <w:spacing w:before="156" w:beforeLines="50" w:after="50"/>
              <w:rPr>
                <w:rFonts w:ascii="宋体" w:hAnsi="宋体"/>
                <w:sz w:val="18"/>
                <w:szCs w:val="18"/>
              </w:rPr>
            </w:pPr>
            <w:r>
              <w:rPr>
                <w:rFonts w:hint="eastAsia" w:ascii="宋体" w:hAnsi="宋体"/>
                <w:sz w:val="18"/>
                <w:szCs w:val="18"/>
              </w:rPr>
              <w:t>2</w:t>
            </w:r>
          </w:p>
        </w:tc>
        <w:tc>
          <w:tcPr>
            <w:tcW w:w="567" w:type="dxa"/>
            <w:tcBorders>
              <w:top w:val="single" w:color="auto" w:sz="4" w:space="0"/>
              <w:left w:val="single" w:color="auto" w:sz="4" w:space="0"/>
              <w:bottom w:val="single" w:color="auto" w:sz="4" w:space="0"/>
              <w:right w:val="single" w:color="auto" w:sz="4" w:space="0"/>
            </w:tcBorders>
          </w:tcPr>
          <w:p w14:paraId="58B9D182">
            <w:pPr>
              <w:snapToGrid w:val="0"/>
              <w:spacing w:before="156" w:beforeLines="50" w:after="50"/>
              <w:rPr>
                <w:rFonts w:ascii="宋体" w:hAnsi="宋体"/>
                <w:sz w:val="18"/>
                <w:szCs w:val="18"/>
              </w:rPr>
            </w:pPr>
          </w:p>
        </w:tc>
        <w:tc>
          <w:tcPr>
            <w:tcW w:w="1559" w:type="dxa"/>
            <w:tcBorders>
              <w:top w:val="single" w:color="auto" w:sz="4" w:space="0"/>
              <w:left w:val="single" w:color="auto" w:sz="4" w:space="0"/>
              <w:bottom w:val="single" w:color="auto" w:sz="4" w:space="0"/>
              <w:right w:val="single" w:color="auto" w:sz="4" w:space="0"/>
            </w:tcBorders>
          </w:tcPr>
          <w:p w14:paraId="3C8DA338">
            <w:pPr>
              <w:snapToGrid w:val="0"/>
              <w:spacing w:before="156" w:beforeLines="50" w:after="50"/>
              <w:rPr>
                <w:rFonts w:ascii="宋体" w:hAnsi="宋体"/>
                <w:sz w:val="18"/>
                <w:szCs w:val="18"/>
              </w:rPr>
            </w:pPr>
          </w:p>
        </w:tc>
        <w:tc>
          <w:tcPr>
            <w:tcW w:w="709" w:type="dxa"/>
            <w:tcBorders>
              <w:top w:val="single" w:color="auto" w:sz="4" w:space="0"/>
              <w:left w:val="single" w:color="auto" w:sz="4" w:space="0"/>
              <w:bottom w:val="single" w:color="auto" w:sz="4" w:space="0"/>
              <w:right w:val="single" w:color="auto" w:sz="4" w:space="0"/>
            </w:tcBorders>
          </w:tcPr>
          <w:p w14:paraId="0614069B">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2CA9A372">
            <w:pPr>
              <w:snapToGrid w:val="0"/>
              <w:spacing w:before="156" w:beforeLines="50" w:after="50"/>
              <w:rPr>
                <w:rFonts w:ascii="宋体" w:hAnsi="宋体"/>
                <w:sz w:val="18"/>
                <w:szCs w:val="18"/>
              </w:rPr>
            </w:pPr>
          </w:p>
        </w:tc>
        <w:tc>
          <w:tcPr>
            <w:tcW w:w="1417" w:type="dxa"/>
            <w:tcBorders>
              <w:top w:val="single" w:color="auto" w:sz="4" w:space="0"/>
              <w:left w:val="single" w:color="auto" w:sz="4" w:space="0"/>
              <w:bottom w:val="single" w:color="auto" w:sz="4" w:space="0"/>
              <w:right w:val="single" w:color="auto" w:sz="4" w:space="0"/>
            </w:tcBorders>
          </w:tcPr>
          <w:p w14:paraId="515B7164">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5124B2D3">
            <w:pPr>
              <w:snapToGrid w:val="0"/>
              <w:spacing w:before="156" w:beforeLines="50" w:after="50"/>
              <w:rPr>
                <w:rFonts w:ascii="宋体" w:hAnsi="宋体"/>
                <w:sz w:val="18"/>
                <w:szCs w:val="18"/>
              </w:rPr>
            </w:pPr>
          </w:p>
        </w:tc>
        <w:tc>
          <w:tcPr>
            <w:tcW w:w="1843" w:type="dxa"/>
            <w:tcBorders>
              <w:top w:val="single" w:color="auto" w:sz="4" w:space="0"/>
              <w:left w:val="single" w:color="auto" w:sz="4" w:space="0"/>
              <w:bottom w:val="single" w:color="auto" w:sz="4" w:space="0"/>
              <w:right w:val="single" w:color="auto" w:sz="4" w:space="0"/>
            </w:tcBorders>
          </w:tcPr>
          <w:p w14:paraId="3FEBC826">
            <w:pPr>
              <w:snapToGrid w:val="0"/>
              <w:spacing w:before="156" w:beforeLines="50" w:after="50"/>
              <w:rPr>
                <w:rFonts w:ascii="宋体" w:hAnsi="宋体"/>
                <w:sz w:val="18"/>
                <w:szCs w:val="18"/>
              </w:rPr>
            </w:pPr>
          </w:p>
        </w:tc>
      </w:tr>
      <w:tr w14:paraId="64AB68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D278844">
            <w:pPr>
              <w:snapToGrid w:val="0"/>
              <w:spacing w:before="156" w:beforeLines="50" w:after="50"/>
              <w:rPr>
                <w:rFonts w:ascii="宋体" w:hAnsi="宋体"/>
                <w:sz w:val="18"/>
                <w:szCs w:val="18"/>
              </w:rPr>
            </w:pPr>
            <w:r>
              <w:rPr>
                <w:rFonts w:hint="eastAsia" w:ascii="宋体" w:hAnsi="宋体"/>
                <w:sz w:val="18"/>
                <w:szCs w:val="18"/>
              </w:rPr>
              <w:t>3</w:t>
            </w:r>
          </w:p>
        </w:tc>
        <w:tc>
          <w:tcPr>
            <w:tcW w:w="567" w:type="dxa"/>
            <w:tcBorders>
              <w:top w:val="single" w:color="auto" w:sz="4" w:space="0"/>
              <w:left w:val="single" w:color="auto" w:sz="4" w:space="0"/>
              <w:bottom w:val="single" w:color="auto" w:sz="4" w:space="0"/>
              <w:right w:val="single" w:color="auto" w:sz="4" w:space="0"/>
            </w:tcBorders>
          </w:tcPr>
          <w:p w14:paraId="22C16C88">
            <w:pPr>
              <w:snapToGrid w:val="0"/>
              <w:spacing w:before="156" w:beforeLines="50" w:after="50"/>
              <w:rPr>
                <w:rFonts w:ascii="宋体" w:hAnsi="宋体"/>
                <w:sz w:val="18"/>
                <w:szCs w:val="18"/>
              </w:rPr>
            </w:pPr>
          </w:p>
        </w:tc>
        <w:tc>
          <w:tcPr>
            <w:tcW w:w="1559" w:type="dxa"/>
            <w:tcBorders>
              <w:top w:val="single" w:color="auto" w:sz="4" w:space="0"/>
              <w:left w:val="single" w:color="auto" w:sz="4" w:space="0"/>
              <w:bottom w:val="single" w:color="auto" w:sz="4" w:space="0"/>
              <w:right w:val="single" w:color="auto" w:sz="4" w:space="0"/>
            </w:tcBorders>
          </w:tcPr>
          <w:p w14:paraId="75041B9F">
            <w:pPr>
              <w:snapToGrid w:val="0"/>
              <w:spacing w:before="156" w:beforeLines="50" w:after="50"/>
              <w:rPr>
                <w:rFonts w:ascii="宋体" w:hAnsi="宋体"/>
                <w:sz w:val="18"/>
                <w:szCs w:val="18"/>
              </w:rPr>
            </w:pPr>
          </w:p>
        </w:tc>
        <w:tc>
          <w:tcPr>
            <w:tcW w:w="709" w:type="dxa"/>
            <w:tcBorders>
              <w:top w:val="single" w:color="auto" w:sz="4" w:space="0"/>
              <w:left w:val="single" w:color="auto" w:sz="4" w:space="0"/>
              <w:bottom w:val="single" w:color="auto" w:sz="4" w:space="0"/>
              <w:right w:val="single" w:color="auto" w:sz="4" w:space="0"/>
            </w:tcBorders>
          </w:tcPr>
          <w:p w14:paraId="712C3BB0">
            <w:pPr>
              <w:pStyle w:val="15"/>
              <w:snapToGrid w:val="0"/>
              <w:spacing w:before="156" w:beforeLines="50" w:after="50"/>
              <w:ind w:left="52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13110B77">
            <w:pPr>
              <w:pStyle w:val="15"/>
              <w:snapToGrid w:val="0"/>
              <w:spacing w:before="156" w:beforeLines="50" w:after="50"/>
              <w:ind w:left="5250"/>
              <w:rPr>
                <w:rFonts w:ascii="宋体" w:hAnsi="宋体"/>
                <w:sz w:val="18"/>
                <w:szCs w:val="18"/>
              </w:rPr>
            </w:pPr>
          </w:p>
        </w:tc>
        <w:tc>
          <w:tcPr>
            <w:tcW w:w="1417" w:type="dxa"/>
            <w:tcBorders>
              <w:top w:val="single" w:color="auto" w:sz="4" w:space="0"/>
              <w:left w:val="single" w:color="auto" w:sz="4" w:space="0"/>
              <w:bottom w:val="single" w:color="auto" w:sz="4" w:space="0"/>
              <w:right w:val="single" w:color="auto" w:sz="4" w:space="0"/>
            </w:tcBorders>
          </w:tcPr>
          <w:p w14:paraId="2C4A3EBF">
            <w:pPr>
              <w:pStyle w:val="15"/>
              <w:ind w:left="5250" w:leftChars="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33820C20">
            <w:pPr>
              <w:snapToGrid w:val="0"/>
              <w:spacing w:before="156" w:beforeLines="50" w:after="50"/>
              <w:rPr>
                <w:rFonts w:ascii="宋体" w:hAnsi="宋体"/>
                <w:sz w:val="18"/>
                <w:szCs w:val="18"/>
              </w:rPr>
            </w:pPr>
          </w:p>
        </w:tc>
        <w:tc>
          <w:tcPr>
            <w:tcW w:w="1843" w:type="dxa"/>
            <w:tcBorders>
              <w:top w:val="single" w:color="auto" w:sz="4" w:space="0"/>
              <w:left w:val="single" w:color="auto" w:sz="4" w:space="0"/>
              <w:bottom w:val="single" w:color="auto" w:sz="4" w:space="0"/>
              <w:right w:val="single" w:color="auto" w:sz="4" w:space="0"/>
            </w:tcBorders>
          </w:tcPr>
          <w:p w14:paraId="58BB9500">
            <w:pPr>
              <w:snapToGrid w:val="0"/>
              <w:spacing w:before="156" w:beforeLines="50" w:after="50"/>
              <w:rPr>
                <w:rFonts w:ascii="宋体" w:hAnsi="宋体"/>
                <w:sz w:val="18"/>
                <w:szCs w:val="18"/>
              </w:rPr>
            </w:pPr>
          </w:p>
        </w:tc>
      </w:tr>
      <w:tr w14:paraId="445EC7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30B57BF">
            <w:pPr>
              <w:snapToGrid w:val="0"/>
              <w:spacing w:before="156" w:beforeLines="50" w:after="50"/>
              <w:rPr>
                <w:rFonts w:ascii="宋体" w:hAnsi="宋体"/>
                <w:sz w:val="18"/>
                <w:szCs w:val="18"/>
              </w:rPr>
            </w:pPr>
            <w:r>
              <w:rPr>
                <w:rFonts w:hint="eastAsia" w:ascii="宋体" w:hAnsi="宋体"/>
                <w:sz w:val="18"/>
                <w:szCs w:val="18"/>
              </w:rPr>
              <w:t>4</w:t>
            </w:r>
          </w:p>
        </w:tc>
        <w:tc>
          <w:tcPr>
            <w:tcW w:w="567" w:type="dxa"/>
            <w:tcBorders>
              <w:top w:val="single" w:color="auto" w:sz="4" w:space="0"/>
              <w:left w:val="single" w:color="auto" w:sz="4" w:space="0"/>
              <w:bottom w:val="single" w:color="auto" w:sz="4" w:space="0"/>
              <w:right w:val="single" w:color="auto" w:sz="4" w:space="0"/>
            </w:tcBorders>
          </w:tcPr>
          <w:p w14:paraId="1DF91250">
            <w:pPr>
              <w:snapToGrid w:val="0"/>
              <w:spacing w:before="156" w:beforeLines="50" w:after="50"/>
              <w:rPr>
                <w:rFonts w:ascii="宋体" w:hAnsi="宋体"/>
                <w:sz w:val="18"/>
                <w:szCs w:val="18"/>
              </w:rPr>
            </w:pPr>
          </w:p>
        </w:tc>
        <w:tc>
          <w:tcPr>
            <w:tcW w:w="1559" w:type="dxa"/>
            <w:tcBorders>
              <w:top w:val="single" w:color="auto" w:sz="4" w:space="0"/>
              <w:left w:val="single" w:color="auto" w:sz="4" w:space="0"/>
              <w:bottom w:val="single" w:color="auto" w:sz="4" w:space="0"/>
              <w:right w:val="single" w:color="auto" w:sz="4" w:space="0"/>
            </w:tcBorders>
          </w:tcPr>
          <w:p w14:paraId="14F6AEF3">
            <w:pPr>
              <w:snapToGrid w:val="0"/>
              <w:spacing w:before="156" w:beforeLines="50" w:after="50"/>
              <w:rPr>
                <w:rFonts w:ascii="宋体" w:hAnsi="宋体"/>
                <w:sz w:val="18"/>
                <w:szCs w:val="18"/>
              </w:rPr>
            </w:pPr>
          </w:p>
        </w:tc>
        <w:tc>
          <w:tcPr>
            <w:tcW w:w="709" w:type="dxa"/>
            <w:tcBorders>
              <w:top w:val="single" w:color="auto" w:sz="4" w:space="0"/>
              <w:left w:val="single" w:color="auto" w:sz="4" w:space="0"/>
              <w:bottom w:val="single" w:color="auto" w:sz="4" w:space="0"/>
              <w:right w:val="single" w:color="auto" w:sz="4" w:space="0"/>
            </w:tcBorders>
          </w:tcPr>
          <w:p w14:paraId="7EE19EA4">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75A700C7">
            <w:pPr>
              <w:snapToGrid w:val="0"/>
              <w:spacing w:before="156" w:beforeLines="50" w:after="50"/>
              <w:rPr>
                <w:rFonts w:ascii="宋体" w:hAnsi="宋体"/>
                <w:sz w:val="18"/>
                <w:szCs w:val="18"/>
              </w:rPr>
            </w:pPr>
          </w:p>
        </w:tc>
        <w:tc>
          <w:tcPr>
            <w:tcW w:w="1417" w:type="dxa"/>
            <w:tcBorders>
              <w:top w:val="single" w:color="auto" w:sz="4" w:space="0"/>
              <w:left w:val="single" w:color="auto" w:sz="4" w:space="0"/>
              <w:bottom w:val="single" w:color="auto" w:sz="4" w:space="0"/>
              <w:right w:val="single" w:color="auto" w:sz="4" w:space="0"/>
            </w:tcBorders>
          </w:tcPr>
          <w:p w14:paraId="28EF06C2">
            <w:pPr>
              <w:snapToGrid w:val="0"/>
              <w:spacing w:before="156" w:beforeLines="50" w:after="50"/>
              <w:rPr>
                <w:rFonts w:ascii="宋体" w:hAnsi="宋体"/>
                <w:sz w:val="18"/>
                <w:szCs w:val="18"/>
              </w:rPr>
            </w:pPr>
          </w:p>
        </w:tc>
        <w:tc>
          <w:tcPr>
            <w:tcW w:w="1134" w:type="dxa"/>
            <w:tcBorders>
              <w:top w:val="single" w:color="auto" w:sz="4" w:space="0"/>
              <w:left w:val="single" w:color="auto" w:sz="4" w:space="0"/>
              <w:bottom w:val="single" w:color="auto" w:sz="4" w:space="0"/>
              <w:right w:val="single" w:color="auto" w:sz="4" w:space="0"/>
            </w:tcBorders>
          </w:tcPr>
          <w:p w14:paraId="3AC0F5F0">
            <w:pPr>
              <w:snapToGrid w:val="0"/>
              <w:spacing w:before="156" w:beforeLines="50" w:after="50"/>
              <w:rPr>
                <w:rFonts w:ascii="宋体" w:hAnsi="宋体"/>
                <w:sz w:val="18"/>
                <w:szCs w:val="18"/>
              </w:rPr>
            </w:pPr>
          </w:p>
        </w:tc>
        <w:tc>
          <w:tcPr>
            <w:tcW w:w="1843" w:type="dxa"/>
            <w:tcBorders>
              <w:top w:val="single" w:color="auto" w:sz="4" w:space="0"/>
              <w:left w:val="single" w:color="auto" w:sz="4" w:space="0"/>
              <w:bottom w:val="single" w:color="auto" w:sz="4" w:space="0"/>
              <w:right w:val="single" w:color="auto" w:sz="4" w:space="0"/>
            </w:tcBorders>
          </w:tcPr>
          <w:p w14:paraId="255FEC1C">
            <w:pPr>
              <w:snapToGrid w:val="0"/>
              <w:spacing w:before="156" w:beforeLines="50" w:after="50"/>
              <w:rPr>
                <w:rFonts w:ascii="宋体" w:hAnsi="宋体"/>
                <w:sz w:val="18"/>
                <w:szCs w:val="18"/>
              </w:rPr>
            </w:pPr>
          </w:p>
        </w:tc>
      </w:tr>
      <w:tr w14:paraId="50B6ED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3FDEEFB">
            <w:pPr>
              <w:snapToGrid w:val="0"/>
              <w:spacing w:before="156" w:beforeLines="50" w:after="50"/>
              <w:rPr>
                <w:rFonts w:ascii="宋体" w:hAnsi="宋体"/>
                <w:sz w:val="24"/>
                <w:szCs w:val="20"/>
              </w:rPr>
            </w:pPr>
          </w:p>
        </w:tc>
        <w:tc>
          <w:tcPr>
            <w:tcW w:w="567" w:type="dxa"/>
            <w:tcBorders>
              <w:top w:val="single" w:color="auto" w:sz="4" w:space="0"/>
              <w:left w:val="single" w:color="auto" w:sz="4" w:space="0"/>
              <w:bottom w:val="single" w:color="auto" w:sz="4" w:space="0"/>
              <w:right w:val="single" w:color="auto" w:sz="4" w:space="0"/>
            </w:tcBorders>
          </w:tcPr>
          <w:p w14:paraId="0269F4EF">
            <w:pPr>
              <w:snapToGrid w:val="0"/>
              <w:spacing w:before="156" w:beforeLines="50" w:after="50"/>
              <w:rPr>
                <w:rFonts w:ascii="宋体" w:hAnsi="宋体"/>
                <w:sz w:val="24"/>
                <w:szCs w:val="20"/>
              </w:rPr>
            </w:pPr>
          </w:p>
        </w:tc>
        <w:tc>
          <w:tcPr>
            <w:tcW w:w="1559" w:type="dxa"/>
            <w:tcBorders>
              <w:top w:val="single" w:color="auto" w:sz="4" w:space="0"/>
              <w:left w:val="single" w:color="auto" w:sz="4" w:space="0"/>
              <w:bottom w:val="single" w:color="auto" w:sz="4" w:space="0"/>
              <w:right w:val="single" w:color="auto" w:sz="4" w:space="0"/>
            </w:tcBorders>
          </w:tcPr>
          <w:p w14:paraId="0CE2E404">
            <w:pPr>
              <w:snapToGrid w:val="0"/>
              <w:spacing w:before="156" w:beforeLines="50" w:after="50"/>
              <w:rPr>
                <w:rFonts w:ascii="宋体" w:hAnsi="宋体"/>
                <w:sz w:val="24"/>
                <w:szCs w:val="20"/>
              </w:rPr>
            </w:pPr>
          </w:p>
        </w:tc>
        <w:tc>
          <w:tcPr>
            <w:tcW w:w="709" w:type="dxa"/>
            <w:tcBorders>
              <w:top w:val="single" w:color="auto" w:sz="4" w:space="0"/>
              <w:left w:val="single" w:color="auto" w:sz="4" w:space="0"/>
              <w:bottom w:val="single" w:color="auto" w:sz="4" w:space="0"/>
              <w:right w:val="single" w:color="auto" w:sz="4" w:space="0"/>
            </w:tcBorders>
          </w:tcPr>
          <w:p w14:paraId="0F90C535">
            <w:pPr>
              <w:snapToGrid w:val="0"/>
              <w:spacing w:before="156" w:beforeLines="50" w:after="50"/>
              <w:rPr>
                <w:rFonts w:ascii="宋体" w:hAnsi="宋体"/>
                <w:sz w:val="24"/>
                <w:szCs w:val="20"/>
              </w:rPr>
            </w:pPr>
          </w:p>
        </w:tc>
        <w:tc>
          <w:tcPr>
            <w:tcW w:w="1134" w:type="dxa"/>
            <w:tcBorders>
              <w:top w:val="single" w:color="auto" w:sz="4" w:space="0"/>
              <w:left w:val="single" w:color="auto" w:sz="4" w:space="0"/>
              <w:bottom w:val="single" w:color="auto" w:sz="4" w:space="0"/>
              <w:right w:val="single" w:color="auto" w:sz="4" w:space="0"/>
            </w:tcBorders>
          </w:tcPr>
          <w:p w14:paraId="694D3843">
            <w:pPr>
              <w:snapToGrid w:val="0"/>
              <w:spacing w:before="156" w:beforeLines="50" w:after="50"/>
              <w:rPr>
                <w:rFonts w:ascii="宋体" w:hAnsi="宋体"/>
                <w:sz w:val="24"/>
                <w:szCs w:val="20"/>
              </w:rPr>
            </w:pPr>
          </w:p>
        </w:tc>
        <w:tc>
          <w:tcPr>
            <w:tcW w:w="1417" w:type="dxa"/>
            <w:tcBorders>
              <w:top w:val="single" w:color="auto" w:sz="4" w:space="0"/>
              <w:left w:val="single" w:color="auto" w:sz="4" w:space="0"/>
              <w:bottom w:val="single" w:color="auto" w:sz="4" w:space="0"/>
              <w:right w:val="single" w:color="auto" w:sz="4" w:space="0"/>
            </w:tcBorders>
          </w:tcPr>
          <w:p w14:paraId="5A1C56CA">
            <w:pPr>
              <w:snapToGrid w:val="0"/>
              <w:spacing w:before="156" w:beforeLines="50" w:after="50"/>
              <w:rPr>
                <w:rFonts w:ascii="宋体" w:hAnsi="宋体"/>
                <w:sz w:val="24"/>
                <w:szCs w:val="20"/>
              </w:rPr>
            </w:pPr>
          </w:p>
        </w:tc>
        <w:tc>
          <w:tcPr>
            <w:tcW w:w="1134" w:type="dxa"/>
            <w:tcBorders>
              <w:top w:val="single" w:color="auto" w:sz="4" w:space="0"/>
              <w:left w:val="single" w:color="auto" w:sz="4" w:space="0"/>
              <w:bottom w:val="single" w:color="auto" w:sz="4" w:space="0"/>
              <w:right w:val="single" w:color="auto" w:sz="4" w:space="0"/>
            </w:tcBorders>
          </w:tcPr>
          <w:p w14:paraId="061C7FCE">
            <w:pPr>
              <w:snapToGrid w:val="0"/>
              <w:spacing w:before="156" w:beforeLines="50" w:after="50"/>
              <w:rPr>
                <w:rFonts w:ascii="宋体" w:hAnsi="宋体"/>
                <w:sz w:val="24"/>
                <w:szCs w:val="20"/>
              </w:rPr>
            </w:pPr>
          </w:p>
        </w:tc>
        <w:tc>
          <w:tcPr>
            <w:tcW w:w="1843" w:type="dxa"/>
            <w:tcBorders>
              <w:top w:val="single" w:color="auto" w:sz="4" w:space="0"/>
              <w:left w:val="single" w:color="auto" w:sz="4" w:space="0"/>
              <w:bottom w:val="single" w:color="auto" w:sz="4" w:space="0"/>
              <w:right w:val="single" w:color="auto" w:sz="4" w:space="0"/>
            </w:tcBorders>
          </w:tcPr>
          <w:p w14:paraId="20603AF8">
            <w:pPr>
              <w:snapToGrid w:val="0"/>
              <w:spacing w:before="156" w:beforeLines="50" w:after="50"/>
              <w:rPr>
                <w:rFonts w:ascii="宋体" w:hAnsi="宋体"/>
                <w:sz w:val="24"/>
                <w:szCs w:val="20"/>
              </w:rPr>
            </w:pPr>
          </w:p>
        </w:tc>
      </w:tr>
      <w:tr w14:paraId="7D8413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837B5EC">
            <w:pPr>
              <w:snapToGrid w:val="0"/>
              <w:spacing w:before="156" w:beforeLines="50" w:after="50"/>
              <w:rPr>
                <w:rFonts w:ascii="宋体" w:hAnsi="宋体"/>
                <w:sz w:val="24"/>
                <w:szCs w:val="20"/>
              </w:rPr>
            </w:pPr>
          </w:p>
        </w:tc>
        <w:tc>
          <w:tcPr>
            <w:tcW w:w="567" w:type="dxa"/>
            <w:tcBorders>
              <w:top w:val="single" w:color="auto" w:sz="4" w:space="0"/>
              <w:left w:val="single" w:color="auto" w:sz="4" w:space="0"/>
              <w:bottom w:val="single" w:color="auto" w:sz="4" w:space="0"/>
              <w:right w:val="single" w:color="auto" w:sz="4" w:space="0"/>
            </w:tcBorders>
          </w:tcPr>
          <w:p w14:paraId="641400D6">
            <w:pPr>
              <w:snapToGrid w:val="0"/>
              <w:spacing w:before="156" w:beforeLines="50" w:after="50"/>
              <w:rPr>
                <w:rFonts w:ascii="宋体" w:hAnsi="宋体"/>
                <w:sz w:val="24"/>
                <w:szCs w:val="20"/>
              </w:rPr>
            </w:pPr>
          </w:p>
        </w:tc>
        <w:tc>
          <w:tcPr>
            <w:tcW w:w="1559" w:type="dxa"/>
            <w:tcBorders>
              <w:top w:val="single" w:color="auto" w:sz="4" w:space="0"/>
              <w:left w:val="single" w:color="auto" w:sz="4" w:space="0"/>
              <w:bottom w:val="single" w:color="auto" w:sz="4" w:space="0"/>
              <w:right w:val="single" w:color="auto" w:sz="4" w:space="0"/>
            </w:tcBorders>
          </w:tcPr>
          <w:p w14:paraId="7D47ABCF">
            <w:pPr>
              <w:snapToGrid w:val="0"/>
              <w:spacing w:before="156" w:beforeLines="50" w:after="50"/>
              <w:rPr>
                <w:rFonts w:ascii="宋体" w:hAnsi="宋体"/>
                <w:sz w:val="24"/>
                <w:szCs w:val="20"/>
              </w:rPr>
            </w:pPr>
          </w:p>
        </w:tc>
        <w:tc>
          <w:tcPr>
            <w:tcW w:w="709" w:type="dxa"/>
            <w:tcBorders>
              <w:top w:val="single" w:color="auto" w:sz="4" w:space="0"/>
              <w:left w:val="single" w:color="auto" w:sz="4" w:space="0"/>
              <w:bottom w:val="single" w:color="auto" w:sz="4" w:space="0"/>
              <w:right w:val="single" w:color="auto" w:sz="4" w:space="0"/>
            </w:tcBorders>
          </w:tcPr>
          <w:p w14:paraId="704687F8">
            <w:pPr>
              <w:snapToGrid w:val="0"/>
              <w:spacing w:before="156" w:beforeLines="50" w:after="50"/>
              <w:rPr>
                <w:rFonts w:ascii="宋体" w:hAnsi="宋体"/>
                <w:sz w:val="24"/>
                <w:szCs w:val="20"/>
              </w:rPr>
            </w:pPr>
          </w:p>
        </w:tc>
        <w:tc>
          <w:tcPr>
            <w:tcW w:w="1134" w:type="dxa"/>
            <w:tcBorders>
              <w:top w:val="single" w:color="auto" w:sz="4" w:space="0"/>
              <w:left w:val="single" w:color="auto" w:sz="4" w:space="0"/>
              <w:bottom w:val="single" w:color="auto" w:sz="4" w:space="0"/>
              <w:right w:val="single" w:color="auto" w:sz="4" w:space="0"/>
            </w:tcBorders>
          </w:tcPr>
          <w:p w14:paraId="78BAA16E">
            <w:pPr>
              <w:snapToGrid w:val="0"/>
              <w:spacing w:before="156" w:beforeLines="50" w:after="50"/>
              <w:rPr>
                <w:rFonts w:ascii="宋体" w:hAnsi="宋体"/>
                <w:sz w:val="24"/>
                <w:szCs w:val="20"/>
              </w:rPr>
            </w:pPr>
          </w:p>
        </w:tc>
        <w:tc>
          <w:tcPr>
            <w:tcW w:w="1417" w:type="dxa"/>
            <w:tcBorders>
              <w:top w:val="single" w:color="auto" w:sz="4" w:space="0"/>
              <w:left w:val="single" w:color="auto" w:sz="4" w:space="0"/>
              <w:bottom w:val="single" w:color="auto" w:sz="4" w:space="0"/>
              <w:right w:val="single" w:color="auto" w:sz="4" w:space="0"/>
            </w:tcBorders>
          </w:tcPr>
          <w:p w14:paraId="707DD2F6">
            <w:pPr>
              <w:snapToGrid w:val="0"/>
              <w:spacing w:before="156" w:beforeLines="50" w:after="50"/>
              <w:rPr>
                <w:rFonts w:ascii="宋体" w:hAnsi="宋体"/>
                <w:sz w:val="24"/>
                <w:szCs w:val="20"/>
              </w:rPr>
            </w:pPr>
          </w:p>
        </w:tc>
        <w:tc>
          <w:tcPr>
            <w:tcW w:w="1134" w:type="dxa"/>
            <w:tcBorders>
              <w:top w:val="single" w:color="auto" w:sz="4" w:space="0"/>
              <w:left w:val="single" w:color="auto" w:sz="4" w:space="0"/>
              <w:bottom w:val="single" w:color="auto" w:sz="4" w:space="0"/>
              <w:right w:val="single" w:color="auto" w:sz="4" w:space="0"/>
            </w:tcBorders>
          </w:tcPr>
          <w:p w14:paraId="00645304">
            <w:pPr>
              <w:snapToGrid w:val="0"/>
              <w:spacing w:before="156" w:beforeLines="50" w:after="50"/>
              <w:rPr>
                <w:rFonts w:ascii="宋体" w:hAnsi="宋体"/>
                <w:sz w:val="24"/>
                <w:szCs w:val="20"/>
              </w:rPr>
            </w:pPr>
          </w:p>
        </w:tc>
        <w:tc>
          <w:tcPr>
            <w:tcW w:w="1843" w:type="dxa"/>
            <w:tcBorders>
              <w:top w:val="single" w:color="auto" w:sz="4" w:space="0"/>
              <w:left w:val="single" w:color="auto" w:sz="4" w:space="0"/>
              <w:bottom w:val="single" w:color="auto" w:sz="4" w:space="0"/>
              <w:right w:val="single" w:color="auto" w:sz="4" w:space="0"/>
            </w:tcBorders>
          </w:tcPr>
          <w:p w14:paraId="63E9C7CE">
            <w:pPr>
              <w:snapToGrid w:val="0"/>
              <w:spacing w:before="156" w:beforeLines="50" w:after="50"/>
              <w:rPr>
                <w:rFonts w:ascii="宋体" w:hAnsi="宋体"/>
                <w:sz w:val="24"/>
                <w:szCs w:val="20"/>
              </w:rPr>
            </w:pPr>
          </w:p>
        </w:tc>
      </w:tr>
    </w:tbl>
    <w:p w14:paraId="12BD8A1E">
      <w:pPr>
        <w:spacing w:line="360" w:lineRule="auto"/>
        <w:rPr>
          <w:rFonts w:ascii="宋体" w:hAnsi="宋体"/>
          <w:b/>
          <w:szCs w:val="21"/>
        </w:rPr>
      </w:pPr>
      <w:r>
        <w:rPr>
          <w:rFonts w:hint="eastAsia" w:ascii="宋体" w:hAnsi="宋体"/>
          <w:b/>
          <w:szCs w:val="21"/>
        </w:rPr>
        <w:t>要求：</w:t>
      </w:r>
    </w:p>
    <w:p w14:paraId="73E82FBC">
      <w:pPr>
        <w:spacing w:line="360" w:lineRule="auto"/>
        <w:ind w:left="437"/>
        <w:rPr>
          <w:rFonts w:ascii="宋体" w:hAnsi="宋体"/>
          <w:szCs w:val="21"/>
        </w:rPr>
      </w:pPr>
      <w:r>
        <w:rPr>
          <w:rFonts w:hint="eastAsia" w:ascii="宋体" w:hAnsi="宋体"/>
          <w:szCs w:val="21"/>
        </w:rPr>
        <w:t>1.在填写时，如本表格不适合磋商供应商的实际情况，可根据本表格式自行划表填写。</w:t>
      </w:r>
    </w:p>
    <w:p w14:paraId="2D41B068">
      <w:pPr>
        <w:pStyle w:val="53"/>
        <w:spacing w:line="360" w:lineRule="auto"/>
        <w:ind w:left="424" w:leftChars="202"/>
        <w:rPr>
          <w:rFonts w:ascii="宋体" w:hAnsi="宋体"/>
          <w:szCs w:val="21"/>
        </w:rPr>
      </w:pPr>
      <w:r>
        <w:rPr>
          <w:rFonts w:hint="eastAsia" w:ascii="宋体" w:hAnsi="宋体"/>
          <w:szCs w:val="21"/>
        </w:rPr>
        <w:t>2.相关证明材料</w:t>
      </w:r>
      <w:r>
        <w:rPr>
          <w:rFonts w:ascii="宋体" w:hAnsi="宋体" w:cs="Arial"/>
          <w:b/>
          <w:szCs w:val="21"/>
        </w:rPr>
        <w:t>（</w:t>
      </w:r>
      <w:r>
        <w:rPr>
          <w:rFonts w:hint="eastAsia" w:ascii="宋体" w:hAnsi="宋体" w:cs="Arial"/>
          <w:b/>
          <w:szCs w:val="21"/>
        </w:rPr>
        <w:t>按磋商文件第四章“评审办法、评分标准”要求提供</w:t>
      </w:r>
      <w:r>
        <w:rPr>
          <w:rFonts w:ascii="宋体" w:hAnsi="宋体" w:cs="Arial"/>
          <w:b/>
          <w:szCs w:val="21"/>
        </w:rPr>
        <w:t>）</w:t>
      </w:r>
      <w:r>
        <w:rPr>
          <w:rFonts w:hint="eastAsia" w:ascii="宋体" w:hAnsi="宋体"/>
          <w:szCs w:val="21"/>
        </w:rPr>
        <w:t>；</w:t>
      </w:r>
    </w:p>
    <w:p w14:paraId="32AC4805">
      <w:pPr>
        <w:spacing w:line="320" w:lineRule="exact"/>
        <w:ind w:left="420"/>
        <w:rPr>
          <w:rFonts w:ascii="宋体" w:hAnsi="宋体"/>
          <w:szCs w:val="21"/>
        </w:rPr>
      </w:pPr>
      <w:r>
        <w:rPr>
          <w:rFonts w:hint="eastAsia" w:ascii="宋体" w:hAnsi="宋体"/>
          <w:szCs w:val="21"/>
        </w:rPr>
        <w:t>3. 本表如跨页需每页加盖磋商供应商公章。</w:t>
      </w:r>
    </w:p>
    <w:p w14:paraId="629443BF">
      <w:pPr>
        <w:spacing w:line="480" w:lineRule="exact"/>
        <w:ind w:firstLine="435"/>
        <w:rPr>
          <w:rFonts w:ascii="宋体" w:hAnsi="宋体"/>
          <w:sz w:val="24"/>
        </w:rPr>
      </w:pPr>
    </w:p>
    <w:p w14:paraId="6198B019">
      <w:pPr>
        <w:pStyle w:val="19"/>
        <w:rPr>
          <w:lang w:eastAsia="zh-CN" w:bidi="ar-SA"/>
        </w:rPr>
      </w:pPr>
    </w:p>
    <w:p w14:paraId="307E4D0D"/>
    <w:p w14:paraId="7DEDF132">
      <w:pPr>
        <w:pStyle w:val="19"/>
        <w:rPr>
          <w:lang w:eastAsia="zh-CN" w:bidi="ar-SA"/>
        </w:rPr>
      </w:pPr>
    </w:p>
    <w:p w14:paraId="2689BE66">
      <w:pPr>
        <w:spacing w:line="480" w:lineRule="exact"/>
        <w:ind w:left="420"/>
        <w:rPr>
          <w:rFonts w:ascii="宋体" w:hAnsi="宋体"/>
          <w:sz w:val="24"/>
          <w:u w:val="single"/>
        </w:rPr>
      </w:pPr>
      <w:r>
        <w:rPr>
          <w:rFonts w:hint="eastAsia" w:ascii="宋体" w:hAnsi="宋体"/>
          <w:sz w:val="24"/>
        </w:rPr>
        <w:t>磋商供应商名称（盖章）：</w:t>
      </w:r>
    </w:p>
    <w:p w14:paraId="0ECD8732">
      <w:pPr>
        <w:spacing w:line="480" w:lineRule="exact"/>
        <w:ind w:firstLine="435"/>
        <w:rPr>
          <w:rFonts w:ascii="宋体" w:hAnsi="宋体"/>
          <w:sz w:val="24"/>
        </w:rPr>
      </w:pPr>
      <w:r>
        <w:rPr>
          <w:rFonts w:hint="eastAsia" w:ascii="宋体" w:hAnsi="宋体"/>
          <w:sz w:val="24"/>
        </w:rPr>
        <w:t>磋商供应商法定代表人或授权代表（签字或盖章）：</w:t>
      </w:r>
    </w:p>
    <w:p w14:paraId="6AB30386">
      <w:pPr>
        <w:spacing w:line="480" w:lineRule="exact"/>
        <w:ind w:firstLine="435"/>
        <w:rPr>
          <w:rFonts w:ascii="宋体" w:hAnsi="宋体"/>
          <w:sz w:val="24"/>
          <w:u w:val="single"/>
        </w:rPr>
      </w:pPr>
      <w:r>
        <w:rPr>
          <w:rFonts w:hint="eastAsia" w:ascii="宋体" w:hAnsi="宋体"/>
          <w:sz w:val="24"/>
        </w:rPr>
        <w:t>日        期：</w:t>
      </w:r>
    </w:p>
    <w:p w14:paraId="141FA262">
      <w:pPr>
        <w:pStyle w:val="19"/>
        <w:rPr>
          <w:lang w:eastAsia="zh-CN"/>
        </w:rPr>
      </w:pPr>
      <w:r>
        <w:rPr>
          <w:lang w:eastAsia="zh-CN"/>
        </w:rPr>
        <w:br w:type="page"/>
      </w:r>
    </w:p>
    <w:p w14:paraId="317FB8DA">
      <w:pPr>
        <w:pStyle w:val="50"/>
        <w:spacing w:line="360" w:lineRule="auto"/>
        <w:jc w:val="left"/>
        <w:rPr>
          <w:rFonts w:ascii="宋体" w:hAnsi="宋体"/>
          <w:b/>
          <w:sz w:val="28"/>
          <w:szCs w:val="28"/>
        </w:rPr>
      </w:pPr>
      <w:r>
        <w:rPr>
          <w:rFonts w:hint="eastAsia" w:ascii="宋体" w:hAnsi="宋体"/>
          <w:b/>
          <w:sz w:val="28"/>
        </w:rPr>
        <w:t>附件11</w:t>
      </w:r>
    </w:p>
    <w:p w14:paraId="692722EF">
      <w:pPr>
        <w:pStyle w:val="51"/>
        <w:spacing w:line="360" w:lineRule="auto"/>
        <w:jc w:val="center"/>
        <w:rPr>
          <w:rFonts w:ascii="宋体" w:hAnsi="宋体"/>
          <w:b/>
          <w:sz w:val="32"/>
          <w:szCs w:val="32"/>
          <w:lang w:val="en-GB"/>
        </w:rPr>
      </w:pPr>
      <w:r>
        <w:rPr>
          <w:rFonts w:hint="eastAsia" w:ascii="宋体" w:hAnsi="宋体"/>
          <w:b/>
          <w:sz w:val="32"/>
          <w:szCs w:val="32"/>
          <w:lang w:val="en-GB"/>
        </w:rPr>
        <w:t>外包装封面</w:t>
      </w:r>
    </w:p>
    <w:p w14:paraId="20BB47B3">
      <w:pPr>
        <w:spacing w:line="360" w:lineRule="auto"/>
        <w:rPr>
          <w:rFonts w:ascii="宋体" w:hAnsi="宋体"/>
          <w:sz w:val="24"/>
          <w:lang w:val="en-GB"/>
        </w:rPr>
      </w:pPr>
    </w:p>
    <w:tbl>
      <w:tblPr>
        <w:tblStyle w:val="30"/>
        <w:tblW w:w="844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442"/>
      </w:tblGrid>
      <w:tr w14:paraId="5D1B15A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290" w:hRule="atLeast"/>
          <w:jc w:val="center"/>
        </w:trPr>
        <w:tc>
          <w:tcPr>
            <w:tcW w:w="8442" w:type="dxa"/>
          </w:tcPr>
          <w:p w14:paraId="5FA7E378">
            <w:pPr>
              <w:spacing w:line="440" w:lineRule="exact"/>
              <w:jc w:val="center"/>
              <w:rPr>
                <w:rFonts w:ascii="宋体" w:hAnsi="宋体"/>
                <w:b/>
                <w:bCs/>
                <w:sz w:val="28"/>
                <w:szCs w:val="28"/>
              </w:rPr>
            </w:pPr>
          </w:p>
          <w:p w14:paraId="072FFF1F">
            <w:pPr>
              <w:spacing w:line="440" w:lineRule="exact"/>
              <w:jc w:val="center"/>
              <w:rPr>
                <w:rFonts w:hAnsi="宋体"/>
                <w:b/>
                <w:bCs/>
                <w:sz w:val="30"/>
                <w:szCs w:val="30"/>
              </w:rPr>
            </w:pPr>
          </w:p>
          <w:p w14:paraId="0681B601">
            <w:pPr>
              <w:pStyle w:val="28"/>
              <w:ind w:firstLine="0" w:firstLineChars="0"/>
              <w:jc w:val="center"/>
              <w:rPr>
                <w:highlight w:val="yellow"/>
              </w:rPr>
            </w:pPr>
            <w:r>
              <w:rPr>
                <w:rFonts w:hint="eastAsia" w:hAnsi="宋体"/>
                <w:b/>
                <w:bCs/>
                <w:sz w:val="30"/>
                <w:szCs w:val="30"/>
              </w:rPr>
              <w:t>项目编号：</w:t>
            </w:r>
          </w:p>
          <w:p w14:paraId="6CA06306">
            <w:pPr>
              <w:spacing w:line="440" w:lineRule="exact"/>
              <w:jc w:val="center"/>
              <w:rPr>
                <w:rFonts w:hAnsi="宋体"/>
                <w:b/>
                <w:bCs/>
                <w:sz w:val="28"/>
                <w:szCs w:val="28"/>
              </w:rPr>
            </w:pPr>
            <w:r>
              <w:rPr>
                <w:rFonts w:hint="eastAsia" w:hAnsi="宋体"/>
                <w:b/>
                <w:bCs/>
                <w:sz w:val="28"/>
                <w:szCs w:val="28"/>
              </w:rPr>
              <w:t>台州市中医院年度广告制作服务项目</w:t>
            </w:r>
          </w:p>
          <w:p w14:paraId="08955C98">
            <w:pPr>
              <w:spacing w:line="440" w:lineRule="exact"/>
              <w:jc w:val="center"/>
              <w:rPr>
                <w:rFonts w:ascii="宋体" w:hAnsi="宋体"/>
                <w:b/>
                <w:bCs/>
                <w:sz w:val="24"/>
                <w:lang w:val="en-GB"/>
              </w:rPr>
            </w:pPr>
          </w:p>
          <w:p w14:paraId="2A965DFB">
            <w:pPr>
              <w:spacing w:line="440" w:lineRule="exact"/>
              <w:jc w:val="center"/>
              <w:rPr>
                <w:rFonts w:ascii="宋体" w:hAnsi="宋体"/>
                <w:b/>
                <w:bCs/>
                <w:sz w:val="24"/>
                <w:lang w:val="en-GB"/>
              </w:rPr>
            </w:pPr>
            <w:r>
              <w:rPr>
                <w:rFonts w:hint="eastAsia" w:ascii="宋体" w:hAnsi="宋体"/>
                <w:b/>
                <w:bCs/>
                <w:sz w:val="24"/>
                <w:lang w:val="en-GB"/>
              </w:rPr>
              <w:t>内容：</w:t>
            </w:r>
            <w:r>
              <w:rPr>
                <w:rFonts w:hint="eastAsia"/>
                <w:b/>
                <w:sz w:val="24"/>
                <w:lang w:val="zh-CN"/>
              </w:rPr>
              <w:t>“</w:t>
            </w:r>
            <w:r>
              <w:rPr>
                <w:rFonts w:hint="eastAsia"/>
                <w:b/>
                <w:sz w:val="24"/>
              </w:rPr>
              <w:t>磋商响应文件”或“样品”或“原件资料（如有）”（请选择）</w:t>
            </w:r>
          </w:p>
          <w:p w14:paraId="4CA95ADF">
            <w:pPr>
              <w:spacing w:line="360" w:lineRule="auto"/>
              <w:jc w:val="center"/>
              <w:rPr>
                <w:rFonts w:ascii="黑体" w:eastAsia="黑体"/>
                <w:b/>
                <w:bCs/>
                <w:sz w:val="24"/>
                <w:lang w:val="en-GB"/>
              </w:rPr>
            </w:pPr>
          </w:p>
          <w:p w14:paraId="6468C10D">
            <w:pPr>
              <w:spacing w:line="360" w:lineRule="auto"/>
              <w:ind w:left="176" w:leftChars="84" w:firstLine="2670" w:firstLineChars="950"/>
              <w:rPr>
                <w:rFonts w:ascii="宋体" w:hAnsi="宋体"/>
                <w:b/>
                <w:sz w:val="28"/>
                <w:szCs w:val="28"/>
                <w:lang w:val="en-GB"/>
              </w:rPr>
            </w:pPr>
          </w:p>
          <w:p w14:paraId="0FBF50BD">
            <w:pPr>
              <w:spacing w:line="360" w:lineRule="auto"/>
              <w:jc w:val="left"/>
              <w:rPr>
                <w:rFonts w:ascii="宋体" w:hAnsi="宋体"/>
                <w:b/>
                <w:sz w:val="28"/>
                <w:szCs w:val="28"/>
                <w:u w:val="single"/>
              </w:rPr>
            </w:pPr>
            <w:r>
              <w:rPr>
                <w:rFonts w:hint="eastAsia" w:ascii="宋体" w:hAnsi="宋体"/>
                <w:b/>
                <w:sz w:val="28"/>
                <w:szCs w:val="28"/>
              </w:rPr>
              <w:t>供应商全称（盖章）：</w:t>
            </w:r>
          </w:p>
          <w:p w14:paraId="1473D0AE">
            <w:pPr>
              <w:spacing w:line="360" w:lineRule="auto"/>
              <w:rPr>
                <w:rFonts w:ascii="宋体" w:hAnsi="宋体"/>
                <w:sz w:val="28"/>
                <w:szCs w:val="28"/>
                <w:u w:val="single"/>
              </w:rPr>
            </w:pPr>
          </w:p>
          <w:p w14:paraId="783F8ED1">
            <w:pPr>
              <w:spacing w:line="360" w:lineRule="auto"/>
              <w:jc w:val="center"/>
              <w:rPr>
                <w:rFonts w:ascii="宋体" w:hAnsi="宋体"/>
                <w:b/>
                <w:bCs/>
                <w:sz w:val="28"/>
                <w:szCs w:val="28"/>
              </w:rPr>
            </w:pPr>
            <w:r>
              <w:rPr>
                <w:rFonts w:hint="eastAsia" w:ascii="宋体" w:hAnsi="宋体"/>
                <w:b/>
                <w:bCs/>
                <w:sz w:val="28"/>
                <w:szCs w:val="28"/>
              </w:rPr>
              <w:t>磋商时启封</w:t>
            </w:r>
          </w:p>
          <w:p w14:paraId="717FABF3">
            <w:pPr>
              <w:adjustRightInd w:val="0"/>
              <w:snapToGrid w:val="0"/>
              <w:spacing w:line="360" w:lineRule="auto"/>
              <w:rPr>
                <w:rFonts w:ascii="宋体" w:hAnsi="宋体"/>
                <w:sz w:val="24"/>
              </w:rPr>
            </w:pPr>
          </w:p>
        </w:tc>
      </w:tr>
    </w:tbl>
    <w:p w14:paraId="7EE7F3BE">
      <w:pPr>
        <w:spacing w:line="360" w:lineRule="auto"/>
        <w:ind w:firstLine="562" w:firstLineChars="200"/>
        <w:jc w:val="left"/>
        <w:outlineLvl w:val="1"/>
        <w:rPr>
          <w:rFonts w:ascii="宋体" w:hAnsi="宋体"/>
          <w:b/>
          <w:bCs/>
          <w:sz w:val="28"/>
          <w:szCs w:val="28"/>
        </w:rPr>
      </w:pPr>
    </w:p>
    <w:p w14:paraId="4282A9EC">
      <w:pPr>
        <w:spacing w:line="360" w:lineRule="auto"/>
        <w:ind w:left="420"/>
        <w:rPr>
          <w:rFonts w:ascii="宋体" w:hAnsi="宋体"/>
        </w:rPr>
      </w:pPr>
    </w:p>
    <w:p w14:paraId="5841CF73">
      <w:pPr>
        <w:spacing w:line="480" w:lineRule="auto"/>
        <w:ind w:firstLine="420" w:firstLineChars="200"/>
      </w:pPr>
    </w:p>
    <w:sectPr>
      <w:footerReference r:id="rId5"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Microsoft YaHei UI">
    <w:altName w:val="宋体"/>
    <w:panose1 w:val="020B0503020204020204"/>
    <w:charset w:val="86"/>
    <w:family w:val="auto"/>
    <w:pitch w:val="default"/>
    <w:sig w:usb0="00000000" w:usb1="00000000" w:usb2="00000016" w:usb3="00000000" w:csb0="0004001F"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91004">
    <w:pPr>
      <w:pStyle w:val="17"/>
      <w:jc w:val="right"/>
      <w:rPr>
        <w:sz w:val="21"/>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3126849"/>
    </w:sdtPr>
    <w:sdtContent>
      <w:p w14:paraId="60A541E5">
        <w:pPr>
          <w:pStyle w:val="17"/>
          <w:jc w:val="center"/>
        </w:pPr>
        <w:r>
          <w:fldChar w:fldCharType="begin"/>
        </w:r>
        <w:r>
          <w:instrText xml:space="preserve">PAGE   \* MERGEFORMAT</w:instrText>
        </w:r>
        <w:r>
          <w:fldChar w:fldCharType="separate"/>
        </w:r>
        <w:r>
          <w:rPr>
            <w:lang w:val="zh-CN" w:eastAsia="zh-CN"/>
          </w:rPr>
          <w:t>1</w:t>
        </w:r>
        <w:r>
          <w:rPr>
            <w:lang w:val="zh-CN" w:eastAsia="zh-CN"/>
          </w:rPr>
          <w:fldChar w:fldCharType="end"/>
        </w:r>
      </w:p>
    </w:sdtContent>
  </w:sdt>
  <w:p w14:paraId="4E460E9A">
    <w:pPr>
      <w:pStyle w:val="17"/>
      <w:jc w:val="right"/>
      <w:rPr>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58D20">
    <w:pPr>
      <w:pStyle w:val="17"/>
      <w:jc w:val="center"/>
    </w:pPr>
    <w:r>
      <w:fldChar w:fldCharType="begin"/>
    </w:r>
    <w:r>
      <w:instrText xml:space="preserve"> PAGE   \* MERGEFORMAT </w:instrText>
    </w:r>
    <w:r>
      <w:fldChar w:fldCharType="separate"/>
    </w:r>
    <w:r>
      <w:rPr>
        <w:lang w:val="zh-CN"/>
      </w:rPr>
      <w:t>22</w:t>
    </w:r>
    <w:r>
      <w:rPr>
        <w:lang w:val="zh-CN"/>
      </w:rPr>
      <w:fldChar w:fldCharType="end"/>
    </w:r>
  </w:p>
  <w:p w14:paraId="737A1A5B">
    <w:pPr>
      <w:pStyle w:val="17"/>
      <w:jc w:val="right"/>
      <w:rPr>
        <w:sz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5D0003"/>
    <w:multiLevelType w:val="singleLevel"/>
    <w:tmpl w:val="B05D0003"/>
    <w:lvl w:ilvl="0" w:tentative="0">
      <w:start w:val="1"/>
      <w:numFmt w:val="decimal"/>
      <w:pStyle w:val="9"/>
      <w:lvlText w:val="%1."/>
      <w:lvlJc w:val="left"/>
      <w:pPr>
        <w:tabs>
          <w:tab w:val="left" w:pos="360"/>
        </w:tabs>
        <w:ind w:left="360" w:hanging="360"/>
      </w:pPr>
    </w:lvl>
  </w:abstractNum>
  <w:abstractNum w:abstractNumId="1">
    <w:nsid w:val="153A0021"/>
    <w:multiLevelType w:val="multilevel"/>
    <w:tmpl w:val="153A0021"/>
    <w:lvl w:ilvl="0" w:tentative="0">
      <w:start w:val="1"/>
      <w:numFmt w:val="decimal"/>
      <w:lvlText w:val="（%1）"/>
      <w:lvlJc w:val="left"/>
      <w:pPr>
        <w:tabs>
          <w:tab w:val="left" w:pos="1200"/>
        </w:tabs>
        <w:ind w:left="1200" w:hanging="720"/>
      </w:pPr>
      <w:rPr>
        <w:rFonts w:hint="default"/>
      </w:rPr>
    </w:lvl>
    <w:lvl w:ilvl="1" w:tentative="0">
      <w:start w:val="1"/>
      <w:numFmt w:val="decimal"/>
      <w:lvlText w:val="%2."/>
      <w:lvlJc w:val="left"/>
      <w:pPr>
        <w:tabs>
          <w:tab w:val="left" w:pos="4710"/>
        </w:tabs>
        <w:ind w:left="4710" w:hanging="38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35BC4599"/>
    <w:multiLevelType w:val="singleLevel"/>
    <w:tmpl w:val="35BC4599"/>
    <w:lvl w:ilvl="0" w:tentative="0">
      <w:start w:val="4"/>
      <w:numFmt w:val="chineseCounting"/>
      <w:suff w:val="nothing"/>
      <w:lvlText w:val="（%1）"/>
      <w:lvlJc w:val="left"/>
      <w:rPr>
        <w:rFonts w:hint="eastAsia"/>
      </w:rPr>
    </w:lvl>
  </w:abstractNum>
  <w:abstractNum w:abstractNumId="3">
    <w:nsid w:val="4969F691"/>
    <w:multiLevelType w:val="singleLevel"/>
    <w:tmpl w:val="4969F691"/>
    <w:lvl w:ilvl="0" w:tentative="0">
      <w:start w:val="2"/>
      <w:numFmt w:val="decimal"/>
      <w:suff w:val="nothing"/>
      <w:lvlText w:val="（%1）"/>
      <w:lvlJc w:val="left"/>
    </w:lvl>
  </w:abstractNum>
  <w:abstractNum w:abstractNumId="4">
    <w:nsid w:val="4DD96DB5"/>
    <w:multiLevelType w:val="singleLevel"/>
    <w:tmpl w:val="4DD96DB5"/>
    <w:lvl w:ilvl="0" w:tentative="0">
      <w:start w:val="2"/>
      <w:numFmt w:val="chineseCounting"/>
      <w:suff w:val="nothing"/>
      <w:lvlText w:val="%1、"/>
      <w:lvlJc w:val="left"/>
      <w:rPr>
        <w:rFonts w:hint="eastAsia"/>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jA2MmM3YTQ1ZmNlYmQ3YzQ0OGI3MTA2NjNhNDQifQ=="/>
  </w:docVars>
  <w:rsids>
    <w:rsidRoot w:val="005447D8"/>
    <w:rsid w:val="00012626"/>
    <w:rsid w:val="000129EF"/>
    <w:rsid w:val="00013D28"/>
    <w:rsid w:val="00020B57"/>
    <w:rsid w:val="00021646"/>
    <w:rsid w:val="00023456"/>
    <w:rsid w:val="00023584"/>
    <w:rsid w:val="00025BDF"/>
    <w:rsid w:val="00027A17"/>
    <w:rsid w:val="00031DB8"/>
    <w:rsid w:val="00031DF5"/>
    <w:rsid w:val="0003286A"/>
    <w:rsid w:val="0003294F"/>
    <w:rsid w:val="00034554"/>
    <w:rsid w:val="00034981"/>
    <w:rsid w:val="0003540E"/>
    <w:rsid w:val="0004151B"/>
    <w:rsid w:val="000425A3"/>
    <w:rsid w:val="0004295F"/>
    <w:rsid w:val="0004396C"/>
    <w:rsid w:val="0004617F"/>
    <w:rsid w:val="00050199"/>
    <w:rsid w:val="000503A0"/>
    <w:rsid w:val="000514D5"/>
    <w:rsid w:val="0005286E"/>
    <w:rsid w:val="00055568"/>
    <w:rsid w:val="00055D77"/>
    <w:rsid w:val="00062BB5"/>
    <w:rsid w:val="00062C49"/>
    <w:rsid w:val="00064B21"/>
    <w:rsid w:val="00065155"/>
    <w:rsid w:val="00065FA6"/>
    <w:rsid w:val="000669D8"/>
    <w:rsid w:val="00072974"/>
    <w:rsid w:val="0008022C"/>
    <w:rsid w:val="00080A18"/>
    <w:rsid w:val="00081B03"/>
    <w:rsid w:val="00082F25"/>
    <w:rsid w:val="00083B40"/>
    <w:rsid w:val="0008767E"/>
    <w:rsid w:val="00087D82"/>
    <w:rsid w:val="00090985"/>
    <w:rsid w:val="0009311A"/>
    <w:rsid w:val="00095572"/>
    <w:rsid w:val="00096798"/>
    <w:rsid w:val="000A0A30"/>
    <w:rsid w:val="000A1792"/>
    <w:rsid w:val="000A299A"/>
    <w:rsid w:val="000A3BF1"/>
    <w:rsid w:val="000A6849"/>
    <w:rsid w:val="000A6C62"/>
    <w:rsid w:val="000A72C2"/>
    <w:rsid w:val="000B19AA"/>
    <w:rsid w:val="000B3D45"/>
    <w:rsid w:val="000B5CF0"/>
    <w:rsid w:val="000C05CC"/>
    <w:rsid w:val="000C13E2"/>
    <w:rsid w:val="000C570C"/>
    <w:rsid w:val="000C7EF8"/>
    <w:rsid w:val="000D1167"/>
    <w:rsid w:val="000D3395"/>
    <w:rsid w:val="000D54FD"/>
    <w:rsid w:val="000D72B2"/>
    <w:rsid w:val="000D7B54"/>
    <w:rsid w:val="000E12A9"/>
    <w:rsid w:val="000E3654"/>
    <w:rsid w:val="000E438C"/>
    <w:rsid w:val="000E470A"/>
    <w:rsid w:val="000E4F29"/>
    <w:rsid w:val="000E523A"/>
    <w:rsid w:val="000F5CB9"/>
    <w:rsid w:val="000F724F"/>
    <w:rsid w:val="0010026B"/>
    <w:rsid w:val="00100AB7"/>
    <w:rsid w:val="001045CF"/>
    <w:rsid w:val="0010470A"/>
    <w:rsid w:val="00110A09"/>
    <w:rsid w:val="00111C17"/>
    <w:rsid w:val="00111C2A"/>
    <w:rsid w:val="00111E50"/>
    <w:rsid w:val="0011379F"/>
    <w:rsid w:val="00113BFE"/>
    <w:rsid w:val="00115309"/>
    <w:rsid w:val="001173E6"/>
    <w:rsid w:val="00117F5E"/>
    <w:rsid w:val="00121DC5"/>
    <w:rsid w:val="0012261E"/>
    <w:rsid w:val="00125D85"/>
    <w:rsid w:val="0013125C"/>
    <w:rsid w:val="001334BA"/>
    <w:rsid w:val="001345CD"/>
    <w:rsid w:val="00136417"/>
    <w:rsid w:val="00137631"/>
    <w:rsid w:val="00142238"/>
    <w:rsid w:val="00144D6A"/>
    <w:rsid w:val="001479FE"/>
    <w:rsid w:val="0015190B"/>
    <w:rsid w:val="00154BB7"/>
    <w:rsid w:val="00157AD6"/>
    <w:rsid w:val="00157FD5"/>
    <w:rsid w:val="00164E85"/>
    <w:rsid w:val="0016587C"/>
    <w:rsid w:val="00166248"/>
    <w:rsid w:val="00167957"/>
    <w:rsid w:val="001701F0"/>
    <w:rsid w:val="00170808"/>
    <w:rsid w:val="00171201"/>
    <w:rsid w:val="00173185"/>
    <w:rsid w:val="0017561B"/>
    <w:rsid w:val="00175711"/>
    <w:rsid w:val="001821C1"/>
    <w:rsid w:val="001824AA"/>
    <w:rsid w:val="00183699"/>
    <w:rsid w:val="0018423D"/>
    <w:rsid w:val="001972E0"/>
    <w:rsid w:val="00197415"/>
    <w:rsid w:val="0019784B"/>
    <w:rsid w:val="001A0FDB"/>
    <w:rsid w:val="001A1C55"/>
    <w:rsid w:val="001A4A25"/>
    <w:rsid w:val="001A661A"/>
    <w:rsid w:val="001A7867"/>
    <w:rsid w:val="001B308A"/>
    <w:rsid w:val="001B4AC6"/>
    <w:rsid w:val="001B4DD8"/>
    <w:rsid w:val="001B5E04"/>
    <w:rsid w:val="001C1BAB"/>
    <w:rsid w:val="001C5540"/>
    <w:rsid w:val="001C580E"/>
    <w:rsid w:val="001D15FD"/>
    <w:rsid w:val="001D2118"/>
    <w:rsid w:val="001D27A8"/>
    <w:rsid w:val="001D316A"/>
    <w:rsid w:val="001D5415"/>
    <w:rsid w:val="001D6778"/>
    <w:rsid w:val="001E0309"/>
    <w:rsid w:val="001E2F32"/>
    <w:rsid w:val="001F35F9"/>
    <w:rsid w:val="001F3C06"/>
    <w:rsid w:val="001F42B1"/>
    <w:rsid w:val="001F5FB8"/>
    <w:rsid w:val="001F7E0C"/>
    <w:rsid w:val="0020286E"/>
    <w:rsid w:val="00203DD7"/>
    <w:rsid w:val="00204F24"/>
    <w:rsid w:val="00204FD4"/>
    <w:rsid w:val="00206614"/>
    <w:rsid w:val="0020682A"/>
    <w:rsid w:val="00206C72"/>
    <w:rsid w:val="0021268A"/>
    <w:rsid w:val="00214293"/>
    <w:rsid w:val="00215BC8"/>
    <w:rsid w:val="00216A03"/>
    <w:rsid w:val="00220B3A"/>
    <w:rsid w:val="00220E53"/>
    <w:rsid w:val="00221B15"/>
    <w:rsid w:val="00222277"/>
    <w:rsid w:val="00223968"/>
    <w:rsid w:val="0022555F"/>
    <w:rsid w:val="00227092"/>
    <w:rsid w:val="00232197"/>
    <w:rsid w:val="002328B3"/>
    <w:rsid w:val="00232CAA"/>
    <w:rsid w:val="00232CB2"/>
    <w:rsid w:val="00236D8D"/>
    <w:rsid w:val="00237785"/>
    <w:rsid w:val="00237EC2"/>
    <w:rsid w:val="00240D23"/>
    <w:rsid w:val="00245C58"/>
    <w:rsid w:val="00250FCE"/>
    <w:rsid w:val="0025100A"/>
    <w:rsid w:val="00252013"/>
    <w:rsid w:val="0025410C"/>
    <w:rsid w:val="002552DD"/>
    <w:rsid w:val="002560FD"/>
    <w:rsid w:val="00265052"/>
    <w:rsid w:val="0026609D"/>
    <w:rsid w:val="00266292"/>
    <w:rsid w:val="00267C60"/>
    <w:rsid w:val="00272503"/>
    <w:rsid w:val="002739A9"/>
    <w:rsid w:val="00273A83"/>
    <w:rsid w:val="00273C67"/>
    <w:rsid w:val="00275F76"/>
    <w:rsid w:val="00277459"/>
    <w:rsid w:val="002775A7"/>
    <w:rsid w:val="002811B1"/>
    <w:rsid w:val="002816D6"/>
    <w:rsid w:val="002828BC"/>
    <w:rsid w:val="00283539"/>
    <w:rsid w:val="00284C09"/>
    <w:rsid w:val="00284C9B"/>
    <w:rsid w:val="00284F88"/>
    <w:rsid w:val="002934D7"/>
    <w:rsid w:val="0029480E"/>
    <w:rsid w:val="002967C1"/>
    <w:rsid w:val="002A1852"/>
    <w:rsid w:val="002A1ECA"/>
    <w:rsid w:val="002A455F"/>
    <w:rsid w:val="002A4FAC"/>
    <w:rsid w:val="002A788A"/>
    <w:rsid w:val="002B0105"/>
    <w:rsid w:val="002B2691"/>
    <w:rsid w:val="002B7205"/>
    <w:rsid w:val="002B7711"/>
    <w:rsid w:val="002C0A35"/>
    <w:rsid w:val="002C494B"/>
    <w:rsid w:val="002C4E7A"/>
    <w:rsid w:val="002C53CF"/>
    <w:rsid w:val="002E1A93"/>
    <w:rsid w:val="002F3594"/>
    <w:rsid w:val="002F38F9"/>
    <w:rsid w:val="002F3F27"/>
    <w:rsid w:val="002F5E9E"/>
    <w:rsid w:val="002F6A82"/>
    <w:rsid w:val="002F7494"/>
    <w:rsid w:val="002F7567"/>
    <w:rsid w:val="002F7ED9"/>
    <w:rsid w:val="003007ED"/>
    <w:rsid w:val="00300BFC"/>
    <w:rsid w:val="00302209"/>
    <w:rsid w:val="00303454"/>
    <w:rsid w:val="00303E66"/>
    <w:rsid w:val="0030651E"/>
    <w:rsid w:val="003116C6"/>
    <w:rsid w:val="00312C7F"/>
    <w:rsid w:val="003204CE"/>
    <w:rsid w:val="00321451"/>
    <w:rsid w:val="00322B94"/>
    <w:rsid w:val="00323347"/>
    <w:rsid w:val="0032589B"/>
    <w:rsid w:val="00326E69"/>
    <w:rsid w:val="00327160"/>
    <w:rsid w:val="00331A0D"/>
    <w:rsid w:val="00334009"/>
    <w:rsid w:val="003368B3"/>
    <w:rsid w:val="00337940"/>
    <w:rsid w:val="00337FBC"/>
    <w:rsid w:val="00340E91"/>
    <w:rsid w:val="00341F7E"/>
    <w:rsid w:val="0034204B"/>
    <w:rsid w:val="003437F5"/>
    <w:rsid w:val="003469ED"/>
    <w:rsid w:val="00351C4E"/>
    <w:rsid w:val="00351EDF"/>
    <w:rsid w:val="00353432"/>
    <w:rsid w:val="003575A6"/>
    <w:rsid w:val="00360FF7"/>
    <w:rsid w:val="0036681D"/>
    <w:rsid w:val="00367E71"/>
    <w:rsid w:val="00371AB0"/>
    <w:rsid w:val="00372BCC"/>
    <w:rsid w:val="00372CBA"/>
    <w:rsid w:val="00374B11"/>
    <w:rsid w:val="00375B47"/>
    <w:rsid w:val="003767EE"/>
    <w:rsid w:val="00384446"/>
    <w:rsid w:val="003912E0"/>
    <w:rsid w:val="0039174E"/>
    <w:rsid w:val="0039333D"/>
    <w:rsid w:val="00393B6C"/>
    <w:rsid w:val="003A09A0"/>
    <w:rsid w:val="003A18B8"/>
    <w:rsid w:val="003A1F73"/>
    <w:rsid w:val="003A1FDA"/>
    <w:rsid w:val="003A2F83"/>
    <w:rsid w:val="003A3A47"/>
    <w:rsid w:val="003A3F20"/>
    <w:rsid w:val="003A6454"/>
    <w:rsid w:val="003A6A93"/>
    <w:rsid w:val="003B50E2"/>
    <w:rsid w:val="003B5C44"/>
    <w:rsid w:val="003B5EE7"/>
    <w:rsid w:val="003B6C3C"/>
    <w:rsid w:val="003C0AD1"/>
    <w:rsid w:val="003C3F61"/>
    <w:rsid w:val="003C55C4"/>
    <w:rsid w:val="003D2DD3"/>
    <w:rsid w:val="003E1265"/>
    <w:rsid w:val="003E1A6C"/>
    <w:rsid w:val="003E4CF2"/>
    <w:rsid w:val="003E7860"/>
    <w:rsid w:val="003F03E9"/>
    <w:rsid w:val="003F15F6"/>
    <w:rsid w:val="003F27F1"/>
    <w:rsid w:val="003F2AEA"/>
    <w:rsid w:val="003F4BE6"/>
    <w:rsid w:val="003F4F6A"/>
    <w:rsid w:val="003F5255"/>
    <w:rsid w:val="003F5408"/>
    <w:rsid w:val="003F5FCC"/>
    <w:rsid w:val="003F7F0D"/>
    <w:rsid w:val="0040015D"/>
    <w:rsid w:val="00406B66"/>
    <w:rsid w:val="00406C65"/>
    <w:rsid w:val="00407F6C"/>
    <w:rsid w:val="00411298"/>
    <w:rsid w:val="0041217A"/>
    <w:rsid w:val="00412533"/>
    <w:rsid w:val="00416498"/>
    <w:rsid w:val="0041717E"/>
    <w:rsid w:val="00417F24"/>
    <w:rsid w:val="004249FA"/>
    <w:rsid w:val="00424E05"/>
    <w:rsid w:val="004264A6"/>
    <w:rsid w:val="00431293"/>
    <w:rsid w:val="004325A6"/>
    <w:rsid w:val="00434AD4"/>
    <w:rsid w:val="00437B3D"/>
    <w:rsid w:val="00440D2F"/>
    <w:rsid w:val="00442FF2"/>
    <w:rsid w:val="004432E7"/>
    <w:rsid w:val="004450C1"/>
    <w:rsid w:val="004475E0"/>
    <w:rsid w:val="004509EE"/>
    <w:rsid w:val="00451599"/>
    <w:rsid w:val="004548B2"/>
    <w:rsid w:val="00456523"/>
    <w:rsid w:val="00456DD0"/>
    <w:rsid w:val="00464776"/>
    <w:rsid w:val="004678F5"/>
    <w:rsid w:val="00473CA0"/>
    <w:rsid w:val="00473EA4"/>
    <w:rsid w:val="0048151D"/>
    <w:rsid w:val="00490034"/>
    <w:rsid w:val="00493CB6"/>
    <w:rsid w:val="004A0906"/>
    <w:rsid w:val="004A3CB7"/>
    <w:rsid w:val="004A487D"/>
    <w:rsid w:val="004A4DC1"/>
    <w:rsid w:val="004A576F"/>
    <w:rsid w:val="004A660A"/>
    <w:rsid w:val="004B217D"/>
    <w:rsid w:val="004B3C2D"/>
    <w:rsid w:val="004B61E7"/>
    <w:rsid w:val="004B6278"/>
    <w:rsid w:val="004C3724"/>
    <w:rsid w:val="004C4F13"/>
    <w:rsid w:val="004E2F0F"/>
    <w:rsid w:val="004E31C0"/>
    <w:rsid w:val="004E35F9"/>
    <w:rsid w:val="004E4992"/>
    <w:rsid w:val="004E5E13"/>
    <w:rsid w:val="004E65D8"/>
    <w:rsid w:val="004E68BE"/>
    <w:rsid w:val="004F00F2"/>
    <w:rsid w:val="004F0746"/>
    <w:rsid w:val="004F0B7C"/>
    <w:rsid w:val="004F2A53"/>
    <w:rsid w:val="004F3A4B"/>
    <w:rsid w:val="004F3D42"/>
    <w:rsid w:val="004F4073"/>
    <w:rsid w:val="004F4A93"/>
    <w:rsid w:val="004F5E83"/>
    <w:rsid w:val="004F69B1"/>
    <w:rsid w:val="00501B8D"/>
    <w:rsid w:val="005022D9"/>
    <w:rsid w:val="00502655"/>
    <w:rsid w:val="00503B16"/>
    <w:rsid w:val="00504193"/>
    <w:rsid w:val="005056CF"/>
    <w:rsid w:val="00505857"/>
    <w:rsid w:val="00505B1F"/>
    <w:rsid w:val="00505EEB"/>
    <w:rsid w:val="005064FE"/>
    <w:rsid w:val="005065BB"/>
    <w:rsid w:val="00512150"/>
    <w:rsid w:val="00514AB9"/>
    <w:rsid w:val="00514CC8"/>
    <w:rsid w:val="00525A18"/>
    <w:rsid w:val="00525A81"/>
    <w:rsid w:val="0052614F"/>
    <w:rsid w:val="00530630"/>
    <w:rsid w:val="005311D6"/>
    <w:rsid w:val="00531AE6"/>
    <w:rsid w:val="00532454"/>
    <w:rsid w:val="0053426D"/>
    <w:rsid w:val="005379B5"/>
    <w:rsid w:val="005402C6"/>
    <w:rsid w:val="00542CBE"/>
    <w:rsid w:val="00543790"/>
    <w:rsid w:val="005446FC"/>
    <w:rsid w:val="005447D8"/>
    <w:rsid w:val="00545070"/>
    <w:rsid w:val="0054660A"/>
    <w:rsid w:val="00550C87"/>
    <w:rsid w:val="00552BE3"/>
    <w:rsid w:val="00552F53"/>
    <w:rsid w:val="005557D0"/>
    <w:rsid w:val="00555BAE"/>
    <w:rsid w:val="00555C33"/>
    <w:rsid w:val="00561705"/>
    <w:rsid w:val="00563353"/>
    <w:rsid w:val="0056349D"/>
    <w:rsid w:val="00565241"/>
    <w:rsid w:val="00565664"/>
    <w:rsid w:val="0056635F"/>
    <w:rsid w:val="005736AC"/>
    <w:rsid w:val="005746A7"/>
    <w:rsid w:val="00576DEB"/>
    <w:rsid w:val="00580364"/>
    <w:rsid w:val="00580655"/>
    <w:rsid w:val="005819D8"/>
    <w:rsid w:val="00583C7D"/>
    <w:rsid w:val="00587B67"/>
    <w:rsid w:val="00587F9B"/>
    <w:rsid w:val="00593858"/>
    <w:rsid w:val="00595B28"/>
    <w:rsid w:val="00596A49"/>
    <w:rsid w:val="005976D2"/>
    <w:rsid w:val="005A09DA"/>
    <w:rsid w:val="005A36FA"/>
    <w:rsid w:val="005A397B"/>
    <w:rsid w:val="005B2D7B"/>
    <w:rsid w:val="005B351F"/>
    <w:rsid w:val="005B3612"/>
    <w:rsid w:val="005B3C07"/>
    <w:rsid w:val="005B469A"/>
    <w:rsid w:val="005B573A"/>
    <w:rsid w:val="005B6D40"/>
    <w:rsid w:val="005B705C"/>
    <w:rsid w:val="005C0FA9"/>
    <w:rsid w:val="005C1A35"/>
    <w:rsid w:val="005C1B45"/>
    <w:rsid w:val="005C4A5C"/>
    <w:rsid w:val="005C5866"/>
    <w:rsid w:val="005D4447"/>
    <w:rsid w:val="005D47F3"/>
    <w:rsid w:val="005D4FA8"/>
    <w:rsid w:val="005D74F5"/>
    <w:rsid w:val="005E02FC"/>
    <w:rsid w:val="005E1505"/>
    <w:rsid w:val="005E3DF4"/>
    <w:rsid w:val="005E5B72"/>
    <w:rsid w:val="005F09A4"/>
    <w:rsid w:val="005F09C4"/>
    <w:rsid w:val="005F1E5B"/>
    <w:rsid w:val="005F32E7"/>
    <w:rsid w:val="005F476B"/>
    <w:rsid w:val="005F4D86"/>
    <w:rsid w:val="005F4EAD"/>
    <w:rsid w:val="005F573F"/>
    <w:rsid w:val="00601280"/>
    <w:rsid w:val="00601D9A"/>
    <w:rsid w:val="00607932"/>
    <w:rsid w:val="00610E90"/>
    <w:rsid w:val="00612DEE"/>
    <w:rsid w:val="00613AFD"/>
    <w:rsid w:val="00615564"/>
    <w:rsid w:val="00620B0E"/>
    <w:rsid w:val="006213F6"/>
    <w:rsid w:val="00624ABE"/>
    <w:rsid w:val="0062710E"/>
    <w:rsid w:val="00627403"/>
    <w:rsid w:val="0063151B"/>
    <w:rsid w:val="00633FD5"/>
    <w:rsid w:val="00635F64"/>
    <w:rsid w:val="00636CC9"/>
    <w:rsid w:val="00637DC4"/>
    <w:rsid w:val="00640053"/>
    <w:rsid w:val="006410A4"/>
    <w:rsid w:val="006425F5"/>
    <w:rsid w:val="00643FE3"/>
    <w:rsid w:val="006460CC"/>
    <w:rsid w:val="00646DF8"/>
    <w:rsid w:val="00647696"/>
    <w:rsid w:val="006534E4"/>
    <w:rsid w:val="00654976"/>
    <w:rsid w:val="0065626C"/>
    <w:rsid w:val="00656299"/>
    <w:rsid w:val="006567BA"/>
    <w:rsid w:val="0065715E"/>
    <w:rsid w:val="006574B9"/>
    <w:rsid w:val="00661AB7"/>
    <w:rsid w:val="00663E66"/>
    <w:rsid w:val="00665752"/>
    <w:rsid w:val="00665C11"/>
    <w:rsid w:val="00665CBD"/>
    <w:rsid w:val="00665E38"/>
    <w:rsid w:val="0067085F"/>
    <w:rsid w:val="006724B7"/>
    <w:rsid w:val="00673C6C"/>
    <w:rsid w:val="00675512"/>
    <w:rsid w:val="006826E7"/>
    <w:rsid w:val="00684226"/>
    <w:rsid w:val="0068552A"/>
    <w:rsid w:val="00685949"/>
    <w:rsid w:val="00687432"/>
    <w:rsid w:val="00687E0F"/>
    <w:rsid w:val="0069126F"/>
    <w:rsid w:val="0069383A"/>
    <w:rsid w:val="00695F82"/>
    <w:rsid w:val="006A01AB"/>
    <w:rsid w:val="006A1339"/>
    <w:rsid w:val="006A1559"/>
    <w:rsid w:val="006A217D"/>
    <w:rsid w:val="006A23D7"/>
    <w:rsid w:val="006A39A6"/>
    <w:rsid w:val="006A4410"/>
    <w:rsid w:val="006B02C2"/>
    <w:rsid w:val="006B07DF"/>
    <w:rsid w:val="006B1C41"/>
    <w:rsid w:val="006B6511"/>
    <w:rsid w:val="006B6BF9"/>
    <w:rsid w:val="006B70B8"/>
    <w:rsid w:val="006B76EE"/>
    <w:rsid w:val="006C0505"/>
    <w:rsid w:val="006C0909"/>
    <w:rsid w:val="006C13C8"/>
    <w:rsid w:val="006C2691"/>
    <w:rsid w:val="006C2E49"/>
    <w:rsid w:val="006C2EC0"/>
    <w:rsid w:val="006C3A43"/>
    <w:rsid w:val="006C7171"/>
    <w:rsid w:val="006D196E"/>
    <w:rsid w:val="006D47BE"/>
    <w:rsid w:val="006D5513"/>
    <w:rsid w:val="006D7511"/>
    <w:rsid w:val="006D76DB"/>
    <w:rsid w:val="006E08E5"/>
    <w:rsid w:val="006E4E82"/>
    <w:rsid w:val="006E5069"/>
    <w:rsid w:val="006E5BC1"/>
    <w:rsid w:val="006E6742"/>
    <w:rsid w:val="006E695F"/>
    <w:rsid w:val="006E6A1C"/>
    <w:rsid w:val="006E6FD4"/>
    <w:rsid w:val="006F137F"/>
    <w:rsid w:val="006F1640"/>
    <w:rsid w:val="006F1C8C"/>
    <w:rsid w:val="006F26F2"/>
    <w:rsid w:val="006F4AD0"/>
    <w:rsid w:val="006F708C"/>
    <w:rsid w:val="0070489B"/>
    <w:rsid w:val="00711B68"/>
    <w:rsid w:val="007147C5"/>
    <w:rsid w:val="00720396"/>
    <w:rsid w:val="00723F7E"/>
    <w:rsid w:val="00726B61"/>
    <w:rsid w:val="00727534"/>
    <w:rsid w:val="00730D22"/>
    <w:rsid w:val="00730F9D"/>
    <w:rsid w:val="00731AE0"/>
    <w:rsid w:val="00732807"/>
    <w:rsid w:val="00732BF9"/>
    <w:rsid w:val="007418F2"/>
    <w:rsid w:val="00741D92"/>
    <w:rsid w:val="00743185"/>
    <w:rsid w:val="00746FDC"/>
    <w:rsid w:val="00751904"/>
    <w:rsid w:val="00751F34"/>
    <w:rsid w:val="00752517"/>
    <w:rsid w:val="00752A4E"/>
    <w:rsid w:val="00753CF4"/>
    <w:rsid w:val="007620D5"/>
    <w:rsid w:val="00763BC9"/>
    <w:rsid w:val="0076482F"/>
    <w:rsid w:val="007655EF"/>
    <w:rsid w:val="00765B11"/>
    <w:rsid w:val="00766BC1"/>
    <w:rsid w:val="007738D3"/>
    <w:rsid w:val="007768DB"/>
    <w:rsid w:val="00777891"/>
    <w:rsid w:val="00777A98"/>
    <w:rsid w:val="007812AB"/>
    <w:rsid w:val="0078281A"/>
    <w:rsid w:val="00784F59"/>
    <w:rsid w:val="007860CB"/>
    <w:rsid w:val="007867FB"/>
    <w:rsid w:val="0079495A"/>
    <w:rsid w:val="007949DB"/>
    <w:rsid w:val="00796771"/>
    <w:rsid w:val="007A0A53"/>
    <w:rsid w:val="007A2375"/>
    <w:rsid w:val="007A2AC7"/>
    <w:rsid w:val="007A6FAF"/>
    <w:rsid w:val="007B04C0"/>
    <w:rsid w:val="007B0679"/>
    <w:rsid w:val="007B0F0B"/>
    <w:rsid w:val="007B14F8"/>
    <w:rsid w:val="007B1667"/>
    <w:rsid w:val="007B228D"/>
    <w:rsid w:val="007B4322"/>
    <w:rsid w:val="007B4889"/>
    <w:rsid w:val="007B54E3"/>
    <w:rsid w:val="007B5B3D"/>
    <w:rsid w:val="007B5BEF"/>
    <w:rsid w:val="007B7A51"/>
    <w:rsid w:val="007C05AC"/>
    <w:rsid w:val="007C0DA5"/>
    <w:rsid w:val="007C1F65"/>
    <w:rsid w:val="007C1F6B"/>
    <w:rsid w:val="007C393E"/>
    <w:rsid w:val="007C56EA"/>
    <w:rsid w:val="007C7766"/>
    <w:rsid w:val="007D006E"/>
    <w:rsid w:val="007D068D"/>
    <w:rsid w:val="007D0D2A"/>
    <w:rsid w:val="007D1CFA"/>
    <w:rsid w:val="007D2122"/>
    <w:rsid w:val="007D2EDC"/>
    <w:rsid w:val="007D6F2B"/>
    <w:rsid w:val="007E1862"/>
    <w:rsid w:val="007E3A4B"/>
    <w:rsid w:val="007E4623"/>
    <w:rsid w:val="007E682A"/>
    <w:rsid w:val="007E6CEC"/>
    <w:rsid w:val="007E738B"/>
    <w:rsid w:val="007F24AC"/>
    <w:rsid w:val="007F469A"/>
    <w:rsid w:val="007F7077"/>
    <w:rsid w:val="007F71B1"/>
    <w:rsid w:val="0080196B"/>
    <w:rsid w:val="00803B6E"/>
    <w:rsid w:val="00806B77"/>
    <w:rsid w:val="00807A91"/>
    <w:rsid w:val="008138E0"/>
    <w:rsid w:val="00814216"/>
    <w:rsid w:val="00816324"/>
    <w:rsid w:val="0082054C"/>
    <w:rsid w:val="00830731"/>
    <w:rsid w:val="0083094F"/>
    <w:rsid w:val="0083214E"/>
    <w:rsid w:val="00832532"/>
    <w:rsid w:val="008335E9"/>
    <w:rsid w:val="00835F4B"/>
    <w:rsid w:val="00836B35"/>
    <w:rsid w:val="00836F3D"/>
    <w:rsid w:val="00837788"/>
    <w:rsid w:val="008410F0"/>
    <w:rsid w:val="00847095"/>
    <w:rsid w:val="008501D7"/>
    <w:rsid w:val="0085218A"/>
    <w:rsid w:val="008527C6"/>
    <w:rsid w:val="00860AE3"/>
    <w:rsid w:val="008639B7"/>
    <w:rsid w:val="00863D42"/>
    <w:rsid w:val="008646E6"/>
    <w:rsid w:val="00864714"/>
    <w:rsid w:val="00864BD6"/>
    <w:rsid w:val="008650B9"/>
    <w:rsid w:val="008655B8"/>
    <w:rsid w:val="00867960"/>
    <w:rsid w:val="00872B88"/>
    <w:rsid w:val="00873678"/>
    <w:rsid w:val="00873A94"/>
    <w:rsid w:val="00873AA4"/>
    <w:rsid w:val="008743ED"/>
    <w:rsid w:val="008748F8"/>
    <w:rsid w:val="00874AF5"/>
    <w:rsid w:val="00874CE5"/>
    <w:rsid w:val="00875415"/>
    <w:rsid w:val="0087672B"/>
    <w:rsid w:val="008769FE"/>
    <w:rsid w:val="008814AF"/>
    <w:rsid w:val="0088603F"/>
    <w:rsid w:val="00887D5F"/>
    <w:rsid w:val="008909A1"/>
    <w:rsid w:val="0089217A"/>
    <w:rsid w:val="00893FCF"/>
    <w:rsid w:val="00894190"/>
    <w:rsid w:val="00897271"/>
    <w:rsid w:val="008A1267"/>
    <w:rsid w:val="008A18D7"/>
    <w:rsid w:val="008A3249"/>
    <w:rsid w:val="008B250B"/>
    <w:rsid w:val="008B27BE"/>
    <w:rsid w:val="008B5079"/>
    <w:rsid w:val="008B60EF"/>
    <w:rsid w:val="008B6194"/>
    <w:rsid w:val="008C069D"/>
    <w:rsid w:val="008C12AC"/>
    <w:rsid w:val="008C1BED"/>
    <w:rsid w:val="008C2C95"/>
    <w:rsid w:val="008C2CA4"/>
    <w:rsid w:val="008C6F6C"/>
    <w:rsid w:val="008C72AE"/>
    <w:rsid w:val="008C7954"/>
    <w:rsid w:val="008C7C8C"/>
    <w:rsid w:val="008D193A"/>
    <w:rsid w:val="008D1E1A"/>
    <w:rsid w:val="008D21BE"/>
    <w:rsid w:val="008D74C7"/>
    <w:rsid w:val="008D7601"/>
    <w:rsid w:val="008D7F19"/>
    <w:rsid w:val="008E1550"/>
    <w:rsid w:val="008E15A5"/>
    <w:rsid w:val="008E1F16"/>
    <w:rsid w:val="008E31F1"/>
    <w:rsid w:val="008E391B"/>
    <w:rsid w:val="008F0FB7"/>
    <w:rsid w:val="008F16AC"/>
    <w:rsid w:val="008F2134"/>
    <w:rsid w:val="008F2F0D"/>
    <w:rsid w:val="008F44F2"/>
    <w:rsid w:val="008F4ACB"/>
    <w:rsid w:val="008F614E"/>
    <w:rsid w:val="008F6AE2"/>
    <w:rsid w:val="008F7CCD"/>
    <w:rsid w:val="00900D29"/>
    <w:rsid w:val="0090204D"/>
    <w:rsid w:val="0090304A"/>
    <w:rsid w:val="00903095"/>
    <w:rsid w:val="00910E65"/>
    <w:rsid w:val="009112EE"/>
    <w:rsid w:val="00912625"/>
    <w:rsid w:val="00912EDC"/>
    <w:rsid w:val="00915560"/>
    <w:rsid w:val="009159EE"/>
    <w:rsid w:val="009215D0"/>
    <w:rsid w:val="00925680"/>
    <w:rsid w:val="00926999"/>
    <w:rsid w:val="00927FFA"/>
    <w:rsid w:val="00930853"/>
    <w:rsid w:val="0093168A"/>
    <w:rsid w:val="00932B32"/>
    <w:rsid w:val="00932C7C"/>
    <w:rsid w:val="0093386E"/>
    <w:rsid w:val="00936342"/>
    <w:rsid w:val="009409CC"/>
    <w:rsid w:val="009414A9"/>
    <w:rsid w:val="009434D2"/>
    <w:rsid w:val="00947D8F"/>
    <w:rsid w:val="0095297B"/>
    <w:rsid w:val="00956326"/>
    <w:rsid w:val="00961425"/>
    <w:rsid w:val="0096248D"/>
    <w:rsid w:val="0096386A"/>
    <w:rsid w:val="009644C7"/>
    <w:rsid w:val="00973A35"/>
    <w:rsid w:val="00974C1D"/>
    <w:rsid w:val="0097576E"/>
    <w:rsid w:val="009766CA"/>
    <w:rsid w:val="00980279"/>
    <w:rsid w:val="00982526"/>
    <w:rsid w:val="00984E0D"/>
    <w:rsid w:val="00992A51"/>
    <w:rsid w:val="00994F54"/>
    <w:rsid w:val="00995A23"/>
    <w:rsid w:val="00995FDC"/>
    <w:rsid w:val="009A0EA4"/>
    <w:rsid w:val="009A120E"/>
    <w:rsid w:val="009A212E"/>
    <w:rsid w:val="009A2D66"/>
    <w:rsid w:val="009A4E19"/>
    <w:rsid w:val="009A5DF2"/>
    <w:rsid w:val="009A6F07"/>
    <w:rsid w:val="009B2725"/>
    <w:rsid w:val="009B2E31"/>
    <w:rsid w:val="009B4816"/>
    <w:rsid w:val="009B51FD"/>
    <w:rsid w:val="009B67E1"/>
    <w:rsid w:val="009B6F1B"/>
    <w:rsid w:val="009B7F79"/>
    <w:rsid w:val="009C096D"/>
    <w:rsid w:val="009C680F"/>
    <w:rsid w:val="009D0662"/>
    <w:rsid w:val="009D0D2A"/>
    <w:rsid w:val="009D1A35"/>
    <w:rsid w:val="009D1C7F"/>
    <w:rsid w:val="009D5EDA"/>
    <w:rsid w:val="009E177C"/>
    <w:rsid w:val="009E3254"/>
    <w:rsid w:val="009E414D"/>
    <w:rsid w:val="009E6F0E"/>
    <w:rsid w:val="009E73F2"/>
    <w:rsid w:val="009F225B"/>
    <w:rsid w:val="009F39FC"/>
    <w:rsid w:val="009F4AA2"/>
    <w:rsid w:val="00A02AA2"/>
    <w:rsid w:val="00A03C44"/>
    <w:rsid w:val="00A05174"/>
    <w:rsid w:val="00A07002"/>
    <w:rsid w:val="00A10020"/>
    <w:rsid w:val="00A10635"/>
    <w:rsid w:val="00A13EE8"/>
    <w:rsid w:val="00A15B81"/>
    <w:rsid w:val="00A20946"/>
    <w:rsid w:val="00A212C6"/>
    <w:rsid w:val="00A22DF4"/>
    <w:rsid w:val="00A22E0E"/>
    <w:rsid w:val="00A2679E"/>
    <w:rsid w:val="00A27FA3"/>
    <w:rsid w:val="00A31CD7"/>
    <w:rsid w:val="00A31D87"/>
    <w:rsid w:val="00A32E16"/>
    <w:rsid w:val="00A3474F"/>
    <w:rsid w:val="00A409FE"/>
    <w:rsid w:val="00A4117B"/>
    <w:rsid w:val="00A42744"/>
    <w:rsid w:val="00A427B4"/>
    <w:rsid w:val="00A45861"/>
    <w:rsid w:val="00A45EBD"/>
    <w:rsid w:val="00A46B0B"/>
    <w:rsid w:val="00A4735D"/>
    <w:rsid w:val="00A50C04"/>
    <w:rsid w:val="00A51D4B"/>
    <w:rsid w:val="00A51D6F"/>
    <w:rsid w:val="00A53C5D"/>
    <w:rsid w:val="00A54756"/>
    <w:rsid w:val="00A5578E"/>
    <w:rsid w:val="00A57452"/>
    <w:rsid w:val="00A60977"/>
    <w:rsid w:val="00A61705"/>
    <w:rsid w:val="00A629AC"/>
    <w:rsid w:val="00A67443"/>
    <w:rsid w:val="00A753AB"/>
    <w:rsid w:val="00A7597D"/>
    <w:rsid w:val="00A768E4"/>
    <w:rsid w:val="00A76A31"/>
    <w:rsid w:val="00A809CF"/>
    <w:rsid w:val="00A83C00"/>
    <w:rsid w:val="00A85106"/>
    <w:rsid w:val="00A87C01"/>
    <w:rsid w:val="00A90796"/>
    <w:rsid w:val="00A9702D"/>
    <w:rsid w:val="00AA0C65"/>
    <w:rsid w:val="00AA11BD"/>
    <w:rsid w:val="00AA20AD"/>
    <w:rsid w:val="00AA2F7E"/>
    <w:rsid w:val="00AA6B73"/>
    <w:rsid w:val="00AA7416"/>
    <w:rsid w:val="00AA752C"/>
    <w:rsid w:val="00AB03E9"/>
    <w:rsid w:val="00AB6E92"/>
    <w:rsid w:val="00AB74A3"/>
    <w:rsid w:val="00AC3C3F"/>
    <w:rsid w:val="00AC6B4C"/>
    <w:rsid w:val="00AC6C02"/>
    <w:rsid w:val="00AD048A"/>
    <w:rsid w:val="00AD2876"/>
    <w:rsid w:val="00AD6FA1"/>
    <w:rsid w:val="00AD714C"/>
    <w:rsid w:val="00AE1D71"/>
    <w:rsid w:val="00AE42C3"/>
    <w:rsid w:val="00AE473B"/>
    <w:rsid w:val="00AE7691"/>
    <w:rsid w:val="00AF5CA6"/>
    <w:rsid w:val="00B00066"/>
    <w:rsid w:val="00B00AAC"/>
    <w:rsid w:val="00B00F43"/>
    <w:rsid w:val="00B04E72"/>
    <w:rsid w:val="00B05CA6"/>
    <w:rsid w:val="00B066F4"/>
    <w:rsid w:val="00B077BB"/>
    <w:rsid w:val="00B103EA"/>
    <w:rsid w:val="00B106A0"/>
    <w:rsid w:val="00B11EA9"/>
    <w:rsid w:val="00B126CA"/>
    <w:rsid w:val="00B13F2C"/>
    <w:rsid w:val="00B1400D"/>
    <w:rsid w:val="00B20948"/>
    <w:rsid w:val="00B21036"/>
    <w:rsid w:val="00B22891"/>
    <w:rsid w:val="00B23664"/>
    <w:rsid w:val="00B240E5"/>
    <w:rsid w:val="00B2773E"/>
    <w:rsid w:val="00B31A71"/>
    <w:rsid w:val="00B324AC"/>
    <w:rsid w:val="00B325B0"/>
    <w:rsid w:val="00B3501C"/>
    <w:rsid w:val="00B35634"/>
    <w:rsid w:val="00B371F9"/>
    <w:rsid w:val="00B3768A"/>
    <w:rsid w:val="00B4213A"/>
    <w:rsid w:val="00B424E1"/>
    <w:rsid w:val="00B45C8E"/>
    <w:rsid w:val="00B46CB1"/>
    <w:rsid w:val="00B502B8"/>
    <w:rsid w:val="00B505A8"/>
    <w:rsid w:val="00B51B6E"/>
    <w:rsid w:val="00B53622"/>
    <w:rsid w:val="00B548F2"/>
    <w:rsid w:val="00B56660"/>
    <w:rsid w:val="00B64BEB"/>
    <w:rsid w:val="00B73CBD"/>
    <w:rsid w:val="00B80FF8"/>
    <w:rsid w:val="00B843B6"/>
    <w:rsid w:val="00B90C9A"/>
    <w:rsid w:val="00B97066"/>
    <w:rsid w:val="00BA03DD"/>
    <w:rsid w:val="00BA04A5"/>
    <w:rsid w:val="00BA05CA"/>
    <w:rsid w:val="00BA0A23"/>
    <w:rsid w:val="00BA6574"/>
    <w:rsid w:val="00BB0B5E"/>
    <w:rsid w:val="00BB490F"/>
    <w:rsid w:val="00BB4CC7"/>
    <w:rsid w:val="00BB52C3"/>
    <w:rsid w:val="00BB76D9"/>
    <w:rsid w:val="00BC09ED"/>
    <w:rsid w:val="00BC1AB0"/>
    <w:rsid w:val="00BC341B"/>
    <w:rsid w:val="00BC7FB3"/>
    <w:rsid w:val="00BD298A"/>
    <w:rsid w:val="00BD333F"/>
    <w:rsid w:val="00BD3807"/>
    <w:rsid w:val="00BD38B4"/>
    <w:rsid w:val="00BD40FA"/>
    <w:rsid w:val="00BE0AF6"/>
    <w:rsid w:val="00BE1949"/>
    <w:rsid w:val="00BE4074"/>
    <w:rsid w:val="00BE4215"/>
    <w:rsid w:val="00BE57A5"/>
    <w:rsid w:val="00BE61E5"/>
    <w:rsid w:val="00BE774B"/>
    <w:rsid w:val="00BF1794"/>
    <w:rsid w:val="00BF3DB8"/>
    <w:rsid w:val="00BF5CE3"/>
    <w:rsid w:val="00BF6DC4"/>
    <w:rsid w:val="00BF7B9B"/>
    <w:rsid w:val="00C020CC"/>
    <w:rsid w:val="00C03DC7"/>
    <w:rsid w:val="00C042C5"/>
    <w:rsid w:val="00C12012"/>
    <w:rsid w:val="00C25E2B"/>
    <w:rsid w:val="00C25F53"/>
    <w:rsid w:val="00C2707B"/>
    <w:rsid w:val="00C271BD"/>
    <w:rsid w:val="00C27301"/>
    <w:rsid w:val="00C27698"/>
    <w:rsid w:val="00C27845"/>
    <w:rsid w:val="00C30CC3"/>
    <w:rsid w:val="00C31F01"/>
    <w:rsid w:val="00C34A2A"/>
    <w:rsid w:val="00C34E5A"/>
    <w:rsid w:val="00C35868"/>
    <w:rsid w:val="00C35B57"/>
    <w:rsid w:val="00C362C7"/>
    <w:rsid w:val="00C36C47"/>
    <w:rsid w:val="00C37D76"/>
    <w:rsid w:val="00C420EB"/>
    <w:rsid w:val="00C42A24"/>
    <w:rsid w:val="00C454C5"/>
    <w:rsid w:val="00C4653C"/>
    <w:rsid w:val="00C5096E"/>
    <w:rsid w:val="00C50A82"/>
    <w:rsid w:val="00C50E3A"/>
    <w:rsid w:val="00C51271"/>
    <w:rsid w:val="00C57E94"/>
    <w:rsid w:val="00C62A54"/>
    <w:rsid w:val="00C62C42"/>
    <w:rsid w:val="00C7125E"/>
    <w:rsid w:val="00C71302"/>
    <w:rsid w:val="00C72335"/>
    <w:rsid w:val="00C73015"/>
    <w:rsid w:val="00C73188"/>
    <w:rsid w:val="00C761F7"/>
    <w:rsid w:val="00C76DAD"/>
    <w:rsid w:val="00C81633"/>
    <w:rsid w:val="00C85E05"/>
    <w:rsid w:val="00C8674D"/>
    <w:rsid w:val="00C86A44"/>
    <w:rsid w:val="00C86E2D"/>
    <w:rsid w:val="00C874E5"/>
    <w:rsid w:val="00C87F68"/>
    <w:rsid w:val="00C90D3E"/>
    <w:rsid w:val="00C91521"/>
    <w:rsid w:val="00C92E6B"/>
    <w:rsid w:val="00C93C05"/>
    <w:rsid w:val="00C949BD"/>
    <w:rsid w:val="00C95DEE"/>
    <w:rsid w:val="00C96B83"/>
    <w:rsid w:val="00CA4248"/>
    <w:rsid w:val="00CA45DE"/>
    <w:rsid w:val="00CA4D6B"/>
    <w:rsid w:val="00CA54DD"/>
    <w:rsid w:val="00CA6F02"/>
    <w:rsid w:val="00CB47DE"/>
    <w:rsid w:val="00CB5056"/>
    <w:rsid w:val="00CB5989"/>
    <w:rsid w:val="00CB7664"/>
    <w:rsid w:val="00CC0998"/>
    <w:rsid w:val="00CC3E68"/>
    <w:rsid w:val="00CC50CA"/>
    <w:rsid w:val="00CD1B1A"/>
    <w:rsid w:val="00CD2D06"/>
    <w:rsid w:val="00CD5FBC"/>
    <w:rsid w:val="00CD6226"/>
    <w:rsid w:val="00CD7505"/>
    <w:rsid w:val="00CD78B8"/>
    <w:rsid w:val="00CE2C73"/>
    <w:rsid w:val="00CE3185"/>
    <w:rsid w:val="00CE7A7E"/>
    <w:rsid w:val="00CE7B72"/>
    <w:rsid w:val="00CF0878"/>
    <w:rsid w:val="00CF0923"/>
    <w:rsid w:val="00CF0B69"/>
    <w:rsid w:val="00CF413F"/>
    <w:rsid w:val="00CF6975"/>
    <w:rsid w:val="00D014DB"/>
    <w:rsid w:val="00D02B3E"/>
    <w:rsid w:val="00D0356A"/>
    <w:rsid w:val="00D0762B"/>
    <w:rsid w:val="00D114E1"/>
    <w:rsid w:val="00D120BE"/>
    <w:rsid w:val="00D14830"/>
    <w:rsid w:val="00D24C9A"/>
    <w:rsid w:val="00D26021"/>
    <w:rsid w:val="00D27ACE"/>
    <w:rsid w:val="00D27D76"/>
    <w:rsid w:val="00D30F20"/>
    <w:rsid w:val="00D32B94"/>
    <w:rsid w:val="00D35AF6"/>
    <w:rsid w:val="00D37175"/>
    <w:rsid w:val="00D406C3"/>
    <w:rsid w:val="00D40713"/>
    <w:rsid w:val="00D41EA7"/>
    <w:rsid w:val="00D42F45"/>
    <w:rsid w:val="00D43B77"/>
    <w:rsid w:val="00D43E6B"/>
    <w:rsid w:val="00D4553B"/>
    <w:rsid w:val="00D45892"/>
    <w:rsid w:val="00D45CEE"/>
    <w:rsid w:val="00D50304"/>
    <w:rsid w:val="00D50CB9"/>
    <w:rsid w:val="00D55476"/>
    <w:rsid w:val="00D555BA"/>
    <w:rsid w:val="00D579D6"/>
    <w:rsid w:val="00D6040C"/>
    <w:rsid w:val="00D6121A"/>
    <w:rsid w:val="00D621EE"/>
    <w:rsid w:val="00D63D12"/>
    <w:rsid w:val="00D640C8"/>
    <w:rsid w:val="00D64A8A"/>
    <w:rsid w:val="00D65DED"/>
    <w:rsid w:val="00D67926"/>
    <w:rsid w:val="00D76657"/>
    <w:rsid w:val="00D81053"/>
    <w:rsid w:val="00D8196C"/>
    <w:rsid w:val="00D835C9"/>
    <w:rsid w:val="00D845AC"/>
    <w:rsid w:val="00D845F5"/>
    <w:rsid w:val="00D84B82"/>
    <w:rsid w:val="00D8672D"/>
    <w:rsid w:val="00D86AD0"/>
    <w:rsid w:val="00D87DEB"/>
    <w:rsid w:val="00D91E17"/>
    <w:rsid w:val="00D93ACC"/>
    <w:rsid w:val="00D96112"/>
    <w:rsid w:val="00D971E7"/>
    <w:rsid w:val="00DA2923"/>
    <w:rsid w:val="00DA2F7D"/>
    <w:rsid w:val="00DA3C8F"/>
    <w:rsid w:val="00DA469F"/>
    <w:rsid w:val="00DA59ED"/>
    <w:rsid w:val="00DA79CF"/>
    <w:rsid w:val="00DA7DF9"/>
    <w:rsid w:val="00DB154C"/>
    <w:rsid w:val="00DB290F"/>
    <w:rsid w:val="00DB40AB"/>
    <w:rsid w:val="00DB6172"/>
    <w:rsid w:val="00DB64C4"/>
    <w:rsid w:val="00DC063E"/>
    <w:rsid w:val="00DC1820"/>
    <w:rsid w:val="00DC2A72"/>
    <w:rsid w:val="00DC605D"/>
    <w:rsid w:val="00DC6B42"/>
    <w:rsid w:val="00DD0B92"/>
    <w:rsid w:val="00DD3318"/>
    <w:rsid w:val="00DD3ECF"/>
    <w:rsid w:val="00DD4E0F"/>
    <w:rsid w:val="00DD5380"/>
    <w:rsid w:val="00DE2106"/>
    <w:rsid w:val="00DE40D4"/>
    <w:rsid w:val="00DE5E79"/>
    <w:rsid w:val="00DE68B0"/>
    <w:rsid w:val="00DE6B52"/>
    <w:rsid w:val="00DE6E3C"/>
    <w:rsid w:val="00DF0FE8"/>
    <w:rsid w:val="00DF13E9"/>
    <w:rsid w:val="00DF2BF0"/>
    <w:rsid w:val="00DF3B74"/>
    <w:rsid w:val="00DF3EF4"/>
    <w:rsid w:val="00DF555E"/>
    <w:rsid w:val="00DF6FD0"/>
    <w:rsid w:val="00DF7807"/>
    <w:rsid w:val="00E00537"/>
    <w:rsid w:val="00E007C1"/>
    <w:rsid w:val="00E01221"/>
    <w:rsid w:val="00E0533A"/>
    <w:rsid w:val="00E111E9"/>
    <w:rsid w:val="00E11E1C"/>
    <w:rsid w:val="00E13199"/>
    <w:rsid w:val="00E172C0"/>
    <w:rsid w:val="00E17887"/>
    <w:rsid w:val="00E20197"/>
    <w:rsid w:val="00E2063F"/>
    <w:rsid w:val="00E22A9A"/>
    <w:rsid w:val="00E22D8E"/>
    <w:rsid w:val="00E23E53"/>
    <w:rsid w:val="00E25488"/>
    <w:rsid w:val="00E27682"/>
    <w:rsid w:val="00E27F01"/>
    <w:rsid w:val="00E300B3"/>
    <w:rsid w:val="00E31F2A"/>
    <w:rsid w:val="00E36310"/>
    <w:rsid w:val="00E36983"/>
    <w:rsid w:val="00E3724E"/>
    <w:rsid w:val="00E42D9A"/>
    <w:rsid w:val="00E477C2"/>
    <w:rsid w:val="00E516EF"/>
    <w:rsid w:val="00E532A4"/>
    <w:rsid w:val="00E53F87"/>
    <w:rsid w:val="00E56668"/>
    <w:rsid w:val="00E577E6"/>
    <w:rsid w:val="00E57F2B"/>
    <w:rsid w:val="00E61092"/>
    <w:rsid w:val="00E6519B"/>
    <w:rsid w:val="00E65893"/>
    <w:rsid w:val="00E65B4A"/>
    <w:rsid w:val="00E67ADF"/>
    <w:rsid w:val="00E7133E"/>
    <w:rsid w:val="00E719A7"/>
    <w:rsid w:val="00E71B91"/>
    <w:rsid w:val="00E73564"/>
    <w:rsid w:val="00E74CA6"/>
    <w:rsid w:val="00E74D46"/>
    <w:rsid w:val="00E77330"/>
    <w:rsid w:val="00E82B6B"/>
    <w:rsid w:val="00E82CC5"/>
    <w:rsid w:val="00E83914"/>
    <w:rsid w:val="00E85A5A"/>
    <w:rsid w:val="00E86B43"/>
    <w:rsid w:val="00E87BFC"/>
    <w:rsid w:val="00E91572"/>
    <w:rsid w:val="00E93D13"/>
    <w:rsid w:val="00E9402F"/>
    <w:rsid w:val="00E95382"/>
    <w:rsid w:val="00E955ED"/>
    <w:rsid w:val="00EA0BC4"/>
    <w:rsid w:val="00EA437C"/>
    <w:rsid w:val="00EA6AE5"/>
    <w:rsid w:val="00EA6FB4"/>
    <w:rsid w:val="00EA743E"/>
    <w:rsid w:val="00EB0D1F"/>
    <w:rsid w:val="00EB384A"/>
    <w:rsid w:val="00EB614F"/>
    <w:rsid w:val="00EC1DA7"/>
    <w:rsid w:val="00EC40FF"/>
    <w:rsid w:val="00EC66E1"/>
    <w:rsid w:val="00EC6E53"/>
    <w:rsid w:val="00ED3601"/>
    <w:rsid w:val="00ED3BD8"/>
    <w:rsid w:val="00ED4E9A"/>
    <w:rsid w:val="00ED5ED0"/>
    <w:rsid w:val="00ED7190"/>
    <w:rsid w:val="00EE246C"/>
    <w:rsid w:val="00EE4E79"/>
    <w:rsid w:val="00EE510D"/>
    <w:rsid w:val="00EE6510"/>
    <w:rsid w:val="00EF13F2"/>
    <w:rsid w:val="00EF2B86"/>
    <w:rsid w:val="00EF43A2"/>
    <w:rsid w:val="00EF5635"/>
    <w:rsid w:val="00EF7A18"/>
    <w:rsid w:val="00F02B1E"/>
    <w:rsid w:val="00F06370"/>
    <w:rsid w:val="00F100E6"/>
    <w:rsid w:val="00F1197C"/>
    <w:rsid w:val="00F11DEE"/>
    <w:rsid w:val="00F163C1"/>
    <w:rsid w:val="00F16E8F"/>
    <w:rsid w:val="00F17377"/>
    <w:rsid w:val="00F17E92"/>
    <w:rsid w:val="00F21B54"/>
    <w:rsid w:val="00F2256B"/>
    <w:rsid w:val="00F229FA"/>
    <w:rsid w:val="00F24363"/>
    <w:rsid w:val="00F25CF3"/>
    <w:rsid w:val="00F26CAF"/>
    <w:rsid w:val="00F31920"/>
    <w:rsid w:val="00F35E75"/>
    <w:rsid w:val="00F36528"/>
    <w:rsid w:val="00F50BEA"/>
    <w:rsid w:val="00F5113B"/>
    <w:rsid w:val="00F52E85"/>
    <w:rsid w:val="00F54B55"/>
    <w:rsid w:val="00F55620"/>
    <w:rsid w:val="00F60808"/>
    <w:rsid w:val="00F6168A"/>
    <w:rsid w:val="00F61799"/>
    <w:rsid w:val="00F6210C"/>
    <w:rsid w:val="00F63150"/>
    <w:rsid w:val="00F6680A"/>
    <w:rsid w:val="00F715A1"/>
    <w:rsid w:val="00F722F1"/>
    <w:rsid w:val="00F738D0"/>
    <w:rsid w:val="00F8082F"/>
    <w:rsid w:val="00F80E1C"/>
    <w:rsid w:val="00F8212D"/>
    <w:rsid w:val="00F85958"/>
    <w:rsid w:val="00F85C42"/>
    <w:rsid w:val="00F8749A"/>
    <w:rsid w:val="00F90867"/>
    <w:rsid w:val="00F91767"/>
    <w:rsid w:val="00F919F8"/>
    <w:rsid w:val="00F91DAD"/>
    <w:rsid w:val="00F931B4"/>
    <w:rsid w:val="00F94639"/>
    <w:rsid w:val="00F94E5C"/>
    <w:rsid w:val="00FA17B5"/>
    <w:rsid w:val="00FA186E"/>
    <w:rsid w:val="00FB073B"/>
    <w:rsid w:val="00FB28F5"/>
    <w:rsid w:val="00FB307F"/>
    <w:rsid w:val="00FB645B"/>
    <w:rsid w:val="00FB6B93"/>
    <w:rsid w:val="00FC0738"/>
    <w:rsid w:val="00FC2370"/>
    <w:rsid w:val="00FC5715"/>
    <w:rsid w:val="00FC7903"/>
    <w:rsid w:val="00FC7913"/>
    <w:rsid w:val="00FD106A"/>
    <w:rsid w:val="00FE0143"/>
    <w:rsid w:val="00FE09A2"/>
    <w:rsid w:val="00FE23EC"/>
    <w:rsid w:val="00FE5B8B"/>
    <w:rsid w:val="00FF168E"/>
    <w:rsid w:val="00FF2A5A"/>
    <w:rsid w:val="00FF359C"/>
    <w:rsid w:val="00FF57A6"/>
    <w:rsid w:val="016A5229"/>
    <w:rsid w:val="01C02C46"/>
    <w:rsid w:val="0264611C"/>
    <w:rsid w:val="02BD75DA"/>
    <w:rsid w:val="02C64FF2"/>
    <w:rsid w:val="03AA4003"/>
    <w:rsid w:val="03C532AB"/>
    <w:rsid w:val="040C25C7"/>
    <w:rsid w:val="046643CE"/>
    <w:rsid w:val="046E3282"/>
    <w:rsid w:val="04D8694E"/>
    <w:rsid w:val="05557F9E"/>
    <w:rsid w:val="05656433"/>
    <w:rsid w:val="057A17B3"/>
    <w:rsid w:val="05983B33"/>
    <w:rsid w:val="065169B7"/>
    <w:rsid w:val="06B15CA0"/>
    <w:rsid w:val="06E17D3B"/>
    <w:rsid w:val="06E415DA"/>
    <w:rsid w:val="07351E35"/>
    <w:rsid w:val="074F739B"/>
    <w:rsid w:val="0790350F"/>
    <w:rsid w:val="07B76CEE"/>
    <w:rsid w:val="07CA4C73"/>
    <w:rsid w:val="080D690E"/>
    <w:rsid w:val="08327976"/>
    <w:rsid w:val="09BF1E8A"/>
    <w:rsid w:val="09C757B3"/>
    <w:rsid w:val="09C86F91"/>
    <w:rsid w:val="09CF6571"/>
    <w:rsid w:val="09DC2A3C"/>
    <w:rsid w:val="09F204B1"/>
    <w:rsid w:val="0A3208AE"/>
    <w:rsid w:val="0A326B00"/>
    <w:rsid w:val="0A726EFC"/>
    <w:rsid w:val="0AC97464"/>
    <w:rsid w:val="0B0C7351"/>
    <w:rsid w:val="0B5036E2"/>
    <w:rsid w:val="0BE45BD8"/>
    <w:rsid w:val="0C000C64"/>
    <w:rsid w:val="0C7B5CE1"/>
    <w:rsid w:val="0C825B1D"/>
    <w:rsid w:val="0C8E7411"/>
    <w:rsid w:val="0CF21CF2"/>
    <w:rsid w:val="0D0B4878"/>
    <w:rsid w:val="0D5374B9"/>
    <w:rsid w:val="0D935B07"/>
    <w:rsid w:val="0E0A5DCA"/>
    <w:rsid w:val="0E27669A"/>
    <w:rsid w:val="0E3177FA"/>
    <w:rsid w:val="0E6E640C"/>
    <w:rsid w:val="0EE26D46"/>
    <w:rsid w:val="0F4C5F6E"/>
    <w:rsid w:val="0F587009"/>
    <w:rsid w:val="0F6B1F06"/>
    <w:rsid w:val="0FEB1C2B"/>
    <w:rsid w:val="104D01F0"/>
    <w:rsid w:val="108160EB"/>
    <w:rsid w:val="10D206F5"/>
    <w:rsid w:val="10FD1C2C"/>
    <w:rsid w:val="11946C8F"/>
    <w:rsid w:val="11A139B1"/>
    <w:rsid w:val="11C73FD2"/>
    <w:rsid w:val="12733412"/>
    <w:rsid w:val="13547AE7"/>
    <w:rsid w:val="135875D7"/>
    <w:rsid w:val="13C2254B"/>
    <w:rsid w:val="14D40EDF"/>
    <w:rsid w:val="152C0D1B"/>
    <w:rsid w:val="155D7127"/>
    <w:rsid w:val="15AE7982"/>
    <w:rsid w:val="15B825AF"/>
    <w:rsid w:val="15FA4976"/>
    <w:rsid w:val="173F0C07"/>
    <w:rsid w:val="17795D6E"/>
    <w:rsid w:val="1787048B"/>
    <w:rsid w:val="17AB5CE2"/>
    <w:rsid w:val="18896DD6"/>
    <w:rsid w:val="18B3705E"/>
    <w:rsid w:val="18C64FE3"/>
    <w:rsid w:val="18EA6F23"/>
    <w:rsid w:val="194A79C2"/>
    <w:rsid w:val="19632832"/>
    <w:rsid w:val="19C01A32"/>
    <w:rsid w:val="19DE635C"/>
    <w:rsid w:val="19E75211"/>
    <w:rsid w:val="1A9B5FFB"/>
    <w:rsid w:val="1A9C4344"/>
    <w:rsid w:val="1B830F69"/>
    <w:rsid w:val="1BB90E2F"/>
    <w:rsid w:val="1BC872C4"/>
    <w:rsid w:val="1BEB6DF5"/>
    <w:rsid w:val="1D9F6B5F"/>
    <w:rsid w:val="1E763E3B"/>
    <w:rsid w:val="1EFD7285"/>
    <w:rsid w:val="1F0C1276"/>
    <w:rsid w:val="1F29007A"/>
    <w:rsid w:val="1F364065"/>
    <w:rsid w:val="1F6B68E4"/>
    <w:rsid w:val="1F8421EA"/>
    <w:rsid w:val="200C3C23"/>
    <w:rsid w:val="205E1FA5"/>
    <w:rsid w:val="21025026"/>
    <w:rsid w:val="21821CC3"/>
    <w:rsid w:val="21A34113"/>
    <w:rsid w:val="21B856E5"/>
    <w:rsid w:val="21EA7F94"/>
    <w:rsid w:val="227B0BEC"/>
    <w:rsid w:val="22EB3FC4"/>
    <w:rsid w:val="22FB1D2D"/>
    <w:rsid w:val="237F470C"/>
    <w:rsid w:val="23844487"/>
    <w:rsid w:val="23ED78C8"/>
    <w:rsid w:val="24253506"/>
    <w:rsid w:val="245B0CD5"/>
    <w:rsid w:val="24681644"/>
    <w:rsid w:val="247578BD"/>
    <w:rsid w:val="25C7239A"/>
    <w:rsid w:val="25D86356"/>
    <w:rsid w:val="26177185"/>
    <w:rsid w:val="269009DE"/>
    <w:rsid w:val="27693709"/>
    <w:rsid w:val="27A6495D"/>
    <w:rsid w:val="286E6AFD"/>
    <w:rsid w:val="28825FC4"/>
    <w:rsid w:val="28B60BD0"/>
    <w:rsid w:val="2927387C"/>
    <w:rsid w:val="297B7286"/>
    <w:rsid w:val="2A5306A1"/>
    <w:rsid w:val="2A5A37DD"/>
    <w:rsid w:val="2B0D3A43"/>
    <w:rsid w:val="2B2F6A18"/>
    <w:rsid w:val="2B8C79C6"/>
    <w:rsid w:val="2C6C77F8"/>
    <w:rsid w:val="2CCD473A"/>
    <w:rsid w:val="2CEF46B1"/>
    <w:rsid w:val="2D77060A"/>
    <w:rsid w:val="2DE91205"/>
    <w:rsid w:val="2DF06932"/>
    <w:rsid w:val="2DFD2DFD"/>
    <w:rsid w:val="2E7F1A64"/>
    <w:rsid w:val="2E813A2E"/>
    <w:rsid w:val="2E8250B1"/>
    <w:rsid w:val="2F2D7712"/>
    <w:rsid w:val="2FBE31F3"/>
    <w:rsid w:val="2FC2189A"/>
    <w:rsid w:val="2FE73D65"/>
    <w:rsid w:val="30226B4B"/>
    <w:rsid w:val="309537C1"/>
    <w:rsid w:val="30D20571"/>
    <w:rsid w:val="31264419"/>
    <w:rsid w:val="312E1520"/>
    <w:rsid w:val="315A2315"/>
    <w:rsid w:val="31A35A6A"/>
    <w:rsid w:val="31B732C3"/>
    <w:rsid w:val="31FC517A"/>
    <w:rsid w:val="32026C34"/>
    <w:rsid w:val="324803BF"/>
    <w:rsid w:val="324A4137"/>
    <w:rsid w:val="32543208"/>
    <w:rsid w:val="32560D2E"/>
    <w:rsid w:val="32F80037"/>
    <w:rsid w:val="333C43C8"/>
    <w:rsid w:val="334B460B"/>
    <w:rsid w:val="33C70135"/>
    <w:rsid w:val="33F627C9"/>
    <w:rsid w:val="3434509F"/>
    <w:rsid w:val="348C6C89"/>
    <w:rsid w:val="34D50630"/>
    <w:rsid w:val="351A24E7"/>
    <w:rsid w:val="35466E38"/>
    <w:rsid w:val="358E07DF"/>
    <w:rsid w:val="365F2283"/>
    <w:rsid w:val="37906A90"/>
    <w:rsid w:val="379D2F5B"/>
    <w:rsid w:val="382F44FB"/>
    <w:rsid w:val="38523D46"/>
    <w:rsid w:val="385927AA"/>
    <w:rsid w:val="38763ED8"/>
    <w:rsid w:val="397F6DBC"/>
    <w:rsid w:val="398C3477"/>
    <w:rsid w:val="39D52E80"/>
    <w:rsid w:val="3A086DB2"/>
    <w:rsid w:val="3A5169AB"/>
    <w:rsid w:val="3A5E2E76"/>
    <w:rsid w:val="3C100ECD"/>
    <w:rsid w:val="3C25365F"/>
    <w:rsid w:val="3C526A0A"/>
    <w:rsid w:val="3C834E15"/>
    <w:rsid w:val="3CD218F9"/>
    <w:rsid w:val="3CDB255C"/>
    <w:rsid w:val="3CF5659A"/>
    <w:rsid w:val="3D2B7420"/>
    <w:rsid w:val="3DAB63D2"/>
    <w:rsid w:val="3DBD6105"/>
    <w:rsid w:val="3EB23790"/>
    <w:rsid w:val="3F0062A9"/>
    <w:rsid w:val="3F06588A"/>
    <w:rsid w:val="3F277CDA"/>
    <w:rsid w:val="3F3643C1"/>
    <w:rsid w:val="3F8D3583"/>
    <w:rsid w:val="3FE71217"/>
    <w:rsid w:val="3FEE07F8"/>
    <w:rsid w:val="400D3374"/>
    <w:rsid w:val="403C5A07"/>
    <w:rsid w:val="41354204"/>
    <w:rsid w:val="4142704D"/>
    <w:rsid w:val="417C773D"/>
    <w:rsid w:val="41990C37"/>
    <w:rsid w:val="419C3B2D"/>
    <w:rsid w:val="42733236"/>
    <w:rsid w:val="427F58E8"/>
    <w:rsid w:val="434C7D3A"/>
    <w:rsid w:val="43E066A9"/>
    <w:rsid w:val="44000AFA"/>
    <w:rsid w:val="440C56F0"/>
    <w:rsid w:val="4454397D"/>
    <w:rsid w:val="44913E48"/>
    <w:rsid w:val="453E5D7D"/>
    <w:rsid w:val="45462E84"/>
    <w:rsid w:val="45C2075D"/>
    <w:rsid w:val="4607616F"/>
    <w:rsid w:val="464C44CA"/>
    <w:rsid w:val="46607F75"/>
    <w:rsid w:val="46957C1F"/>
    <w:rsid w:val="46F30DEA"/>
    <w:rsid w:val="47121270"/>
    <w:rsid w:val="472B2331"/>
    <w:rsid w:val="473236C0"/>
    <w:rsid w:val="47637D1D"/>
    <w:rsid w:val="477C2B8D"/>
    <w:rsid w:val="47A85730"/>
    <w:rsid w:val="47FE17F4"/>
    <w:rsid w:val="48BC49B1"/>
    <w:rsid w:val="48E704DA"/>
    <w:rsid w:val="49156DF5"/>
    <w:rsid w:val="49EF3AEA"/>
    <w:rsid w:val="4A4A4A2B"/>
    <w:rsid w:val="4A8A3813"/>
    <w:rsid w:val="4B577B99"/>
    <w:rsid w:val="4BB07DED"/>
    <w:rsid w:val="4BCD7E5B"/>
    <w:rsid w:val="4BE56F53"/>
    <w:rsid w:val="4BF21670"/>
    <w:rsid w:val="4C121D12"/>
    <w:rsid w:val="4C261319"/>
    <w:rsid w:val="4C8227F3"/>
    <w:rsid w:val="4CEC2563"/>
    <w:rsid w:val="4D537EEC"/>
    <w:rsid w:val="4D616AAD"/>
    <w:rsid w:val="4D8F14B5"/>
    <w:rsid w:val="4DB34E2F"/>
    <w:rsid w:val="4F133DD7"/>
    <w:rsid w:val="500B71A4"/>
    <w:rsid w:val="50146059"/>
    <w:rsid w:val="50447FC0"/>
    <w:rsid w:val="50CF01D2"/>
    <w:rsid w:val="50EF43D0"/>
    <w:rsid w:val="50FB4B23"/>
    <w:rsid w:val="51597A9B"/>
    <w:rsid w:val="52BC6534"/>
    <w:rsid w:val="530D4FE1"/>
    <w:rsid w:val="535B3F9E"/>
    <w:rsid w:val="549459BA"/>
    <w:rsid w:val="54C74FEC"/>
    <w:rsid w:val="554271C4"/>
    <w:rsid w:val="55654C60"/>
    <w:rsid w:val="55E77D6B"/>
    <w:rsid w:val="56064695"/>
    <w:rsid w:val="56260894"/>
    <w:rsid w:val="564927D4"/>
    <w:rsid w:val="564C5E20"/>
    <w:rsid w:val="567315FF"/>
    <w:rsid w:val="56B45E9F"/>
    <w:rsid w:val="56C37E91"/>
    <w:rsid w:val="56E542AB"/>
    <w:rsid w:val="57212E09"/>
    <w:rsid w:val="580256BF"/>
    <w:rsid w:val="582C7CB7"/>
    <w:rsid w:val="58FE78A6"/>
    <w:rsid w:val="59A254F4"/>
    <w:rsid w:val="59BD6A04"/>
    <w:rsid w:val="5A2229C0"/>
    <w:rsid w:val="5AE623A0"/>
    <w:rsid w:val="5AF5026E"/>
    <w:rsid w:val="5B1C2265"/>
    <w:rsid w:val="5B90055D"/>
    <w:rsid w:val="5BB16E51"/>
    <w:rsid w:val="5BCB77E7"/>
    <w:rsid w:val="5C313AEE"/>
    <w:rsid w:val="5C533A65"/>
    <w:rsid w:val="5C6E4D42"/>
    <w:rsid w:val="5CE2128D"/>
    <w:rsid w:val="5CF039A9"/>
    <w:rsid w:val="5D7A3273"/>
    <w:rsid w:val="5DAA3B58"/>
    <w:rsid w:val="5E437B09"/>
    <w:rsid w:val="5EDF3CD6"/>
    <w:rsid w:val="5EEE49D1"/>
    <w:rsid w:val="5F007F05"/>
    <w:rsid w:val="5F453F05"/>
    <w:rsid w:val="5F473629"/>
    <w:rsid w:val="5F5024DD"/>
    <w:rsid w:val="5FFA069B"/>
    <w:rsid w:val="60B116A2"/>
    <w:rsid w:val="60D3786A"/>
    <w:rsid w:val="60FF3F95"/>
    <w:rsid w:val="61112140"/>
    <w:rsid w:val="615E35D8"/>
    <w:rsid w:val="61C13B66"/>
    <w:rsid w:val="621B3277"/>
    <w:rsid w:val="626D15F8"/>
    <w:rsid w:val="627209BD"/>
    <w:rsid w:val="62AC2121"/>
    <w:rsid w:val="62B2525D"/>
    <w:rsid w:val="62CB04FE"/>
    <w:rsid w:val="631B2E02"/>
    <w:rsid w:val="63CC234F"/>
    <w:rsid w:val="63D25BB7"/>
    <w:rsid w:val="63F0603D"/>
    <w:rsid w:val="641937E6"/>
    <w:rsid w:val="644F0FB6"/>
    <w:rsid w:val="646F03CF"/>
    <w:rsid w:val="64E42046"/>
    <w:rsid w:val="6525440C"/>
    <w:rsid w:val="65404DA2"/>
    <w:rsid w:val="65F77B57"/>
    <w:rsid w:val="669C24AC"/>
    <w:rsid w:val="678278F4"/>
    <w:rsid w:val="67C63C85"/>
    <w:rsid w:val="67E45EB9"/>
    <w:rsid w:val="681412C7"/>
    <w:rsid w:val="68330BEE"/>
    <w:rsid w:val="687C2595"/>
    <w:rsid w:val="68B97345"/>
    <w:rsid w:val="68BB30BE"/>
    <w:rsid w:val="69513A22"/>
    <w:rsid w:val="69635503"/>
    <w:rsid w:val="6994390F"/>
    <w:rsid w:val="69C53AC8"/>
    <w:rsid w:val="6A184540"/>
    <w:rsid w:val="6C7F2654"/>
    <w:rsid w:val="6C864259"/>
    <w:rsid w:val="6C9E1C84"/>
    <w:rsid w:val="6CA976D1"/>
    <w:rsid w:val="6E6E2980"/>
    <w:rsid w:val="6E7D3536"/>
    <w:rsid w:val="6EA840E4"/>
    <w:rsid w:val="6F4A6F49"/>
    <w:rsid w:val="6F614293"/>
    <w:rsid w:val="6F8306AD"/>
    <w:rsid w:val="6FCA62DC"/>
    <w:rsid w:val="70741DA4"/>
    <w:rsid w:val="70893AA1"/>
    <w:rsid w:val="70A95EF1"/>
    <w:rsid w:val="70B86135"/>
    <w:rsid w:val="70F01D72"/>
    <w:rsid w:val="7198663F"/>
    <w:rsid w:val="719E0D4D"/>
    <w:rsid w:val="71B44B4E"/>
    <w:rsid w:val="71C31235"/>
    <w:rsid w:val="71E80C9B"/>
    <w:rsid w:val="71ED62B2"/>
    <w:rsid w:val="723637B5"/>
    <w:rsid w:val="72A50D7D"/>
    <w:rsid w:val="72C47013"/>
    <w:rsid w:val="72C9287B"/>
    <w:rsid w:val="734B3186"/>
    <w:rsid w:val="735A7977"/>
    <w:rsid w:val="73A6496A"/>
    <w:rsid w:val="743326A2"/>
    <w:rsid w:val="74AA2238"/>
    <w:rsid w:val="74B530B7"/>
    <w:rsid w:val="74BE7A92"/>
    <w:rsid w:val="74DA2B1D"/>
    <w:rsid w:val="7548217D"/>
    <w:rsid w:val="754F1964"/>
    <w:rsid w:val="756D573F"/>
    <w:rsid w:val="757A7E5C"/>
    <w:rsid w:val="764A3CD3"/>
    <w:rsid w:val="76A96C4B"/>
    <w:rsid w:val="76FD0D45"/>
    <w:rsid w:val="770519A8"/>
    <w:rsid w:val="77D23F80"/>
    <w:rsid w:val="77FA5285"/>
    <w:rsid w:val="77FC2DAB"/>
    <w:rsid w:val="780F14CB"/>
    <w:rsid w:val="7847671C"/>
    <w:rsid w:val="7863107C"/>
    <w:rsid w:val="786F17CF"/>
    <w:rsid w:val="7885416D"/>
    <w:rsid w:val="795846E4"/>
    <w:rsid w:val="7A37456E"/>
    <w:rsid w:val="7A884DCA"/>
    <w:rsid w:val="7A97325F"/>
    <w:rsid w:val="7A97500D"/>
    <w:rsid w:val="7B2368A0"/>
    <w:rsid w:val="7B75534E"/>
    <w:rsid w:val="7BBC11CF"/>
    <w:rsid w:val="7BCB7664"/>
    <w:rsid w:val="7BDA3403"/>
    <w:rsid w:val="7C0641F8"/>
    <w:rsid w:val="7C86358B"/>
    <w:rsid w:val="7CD21B52"/>
    <w:rsid w:val="7D334BEC"/>
    <w:rsid w:val="7E315B45"/>
    <w:rsid w:val="7E7E6C0F"/>
    <w:rsid w:val="7E9A331D"/>
    <w:rsid w:val="7F0013D2"/>
    <w:rsid w:val="7F853FCE"/>
    <w:rsid w:val="7FD052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qFormat="1" w:uiPriority="39"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67"/>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5"/>
    <w:qFormat/>
    <w:uiPriority w:val="9"/>
    <w:pPr>
      <w:keepNext/>
      <w:widowControl/>
      <w:spacing w:before="240" w:after="60"/>
      <w:jc w:val="left"/>
      <w:outlineLvl w:val="1"/>
    </w:pPr>
    <w:rPr>
      <w:rFonts w:ascii="Cambria" w:hAnsi="Cambria"/>
      <w:b/>
      <w:bCs/>
      <w:i/>
      <w:iCs/>
      <w:kern w:val="0"/>
      <w:sz w:val="28"/>
      <w:szCs w:val="28"/>
      <w:lang w:eastAsia="en-US" w:bidi="en-US"/>
    </w:rPr>
  </w:style>
  <w:style w:type="paragraph" w:styleId="6">
    <w:name w:val="heading 3"/>
    <w:basedOn w:val="1"/>
    <w:next w:val="1"/>
    <w:qFormat/>
    <w:uiPriority w:val="0"/>
    <w:pPr>
      <w:keepNext/>
      <w:keepLines/>
      <w:spacing w:before="260" w:after="260" w:line="360" w:lineRule="auto"/>
      <w:ind w:firstLine="602" w:firstLineChars="200"/>
      <w:outlineLvl w:val="2"/>
    </w:pPr>
    <w:rPr>
      <w:rFonts w:ascii="仿宋_GB2312" w:eastAsia="仿宋_GB2312"/>
      <w:b/>
      <w:bCs/>
      <w:sz w:val="30"/>
      <w:szCs w:val="20"/>
    </w:rPr>
  </w:style>
  <w:style w:type="paragraph" w:styleId="7">
    <w:name w:val="heading 4"/>
    <w:basedOn w:val="1"/>
    <w:next w:val="1"/>
    <w:link w:val="7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76"/>
    <w:unhideWhenUsed/>
    <w:qFormat/>
    <w:uiPriority w:val="0"/>
    <w:pPr>
      <w:keepNext/>
      <w:keepLines/>
      <w:spacing w:before="280" w:after="290" w:line="376" w:lineRule="auto"/>
      <w:outlineLvl w:val="4"/>
    </w:pPr>
    <w:rPr>
      <w:b/>
      <w:bCs/>
      <w:sz w:val="28"/>
      <w:szCs w:val="28"/>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80"/>
    <w:qFormat/>
    <w:uiPriority w:val="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 w:rightChars="12" w:firstLine="720" w:firstLineChars="300"/>
      <w:jc w:val="right"/>
    </w:pPr>
    <w:rPr>
      <w:rFonts w:ascii="宋体"/>
      <w:color w:val="000000"/>
      <w:kern w:val="0"/>
      <w:sz w:val="24"/>
      <w:szCs w:val="20"/>
    </w:rPr>
  </w:style>
  <w:style w:type="paragraph" w:styleId="3">
    <w:name w:val="envelope return"/>
    <w:basedOn w:val="1"/>
    <w:qFormat/>
    <w:uiPriority w:val="0"/>
    <w:pPr>
      <w:snapToGrid w:val="0"/>
    </w:pPr>
    <w:rPr>
      <w:rFonts w:ascii="Arial" w:hAnsi="Arial"/>
    </w:rPr>
  </w:style>
  <w:style w:type="paragraph" w:styleId="9">
    <w:name w:val="List Number"/>
    <w:basedOn w:val="1"/>
    <w:unhideWhenUsed/>
    <w:qFormat/>
    <w:uiPriority w:val="99"/>
    <w:pPr>
      <w:numPr>
        <w:ilvl w:val="0"/>
        <w:numId w:val="1"/>
      </w:numPr>
    </w:pPr>
  </w:style>
  <w:style w:type="paragraph" w:styleId="10">
    <w:name w:val="Normal Indent"/>
    <w:basedOn w:val="1"/>
    <w:link w:val="78"/>
    <w:qFormat/>
    <w:uiPriority w:val="0"/>
    <w:pPr>
      <w:ind w:firstLine="420"/>
    </w:pPr>
    <w:rPr>
      <w:szCs w:val="20"/>
    </w:rPr>
  </w:style>
  <w:style w:type="paragraph" w:styleId="11">
    <w:name w:val="annotation text"/>
    <w:basedOn w:val="1"/>
    <w:link w:val="41"/>
    <w:qFormat/>
    <w:uiPriority w:val="0"/>
    <w:pPr>
      <w:widowControl/>
      <w:jc w:val="left"/>
    </w:pPr>
    <w:rPr>
      <w:rFonts w:asciiTheme="minorHAnsi" w:hAnsiTheme="minorHAnsi" w:eastAsiaTheme="minorEastAsia" w:cstheme="minorBidi"/>
      <w:sz w:val="24"/>
      <w:szCs w:val="24"/>
      <w:lang w:eastAsia="en-US" w:bidi="en-US"/>
    </w:rPr>
  </w:style>
  <w:style w:type="paragraph" w:styleId="12">
    <w:name w:val="Body Text 3"/>
    <w:basedOn w:val="1"/>
    <w:link w:val="57"/>
    <w:qFormat/>
    <w:uiPriority w:val="0"/>
    <w:pPr>
      <w:spacing w:after="120"/>
    </w:pPr>
    <w:rPr>
      <w:rFonts w:ascii="Times New Roman" w:hAnsi="Times New Roman"/>
      <w:sz w:val="16"/>
      <w:szCs w:val="16"/>
    </w:rPr>
  </w:style>
  <w:style w:type="paragraph" w:styleId="13">
    <w:name w:val="Body Text"/>
    <w:basedOn w:val="1"/>
    <w:next w:val="1"/>
    <w:link w:val="61"/>
    <w:unhideWhenUsed/>
    <w:qFormat/>
    <w:uiPriority w:val="0"/>
    <w:pPr>
      <w:spacing w:after="120"/>
    </w:pPr>
  </w:style>
  <w:style w:type="paragraph" w:styleId="14">
    <w:name w:val="Plain Text"/>
    <w:basedOn w:val="1"/>
    <w:next w:val="15"/>
    <w:link w:val="45"/>
    <w:qFormat/>
    <w:uiPriority w:val="0"/>
    <w:pPr>
      <w:widowControl/>
      <w:jc w:val="left"/>
    </w:pPr>
    <w:rPr>
      <w:rFonts w:ascii="宋体" w:hAnsi="Courier New" w:cstheme="minorBidi"/>
      <w:szCs w:val="24"/>
    </w:rPr>
  </w:style>
  <w:style w:type="paragraph" w:styleId="15">
    <w:name w:val="Date"/>
    <w:basedOn w:val="1"/>
    <w:next w:val="1"/>
    <w:link w:val="44"/>
    <w:unhideWhenUsed/>
    <w:qFormat/>
    <w:uiPriority w:val="99"/>
    <w:pPr>
      <w:ind w:left="100" w:leftChars="2500"/>
    </w:pPr>
  </w:style>
  <w:style w:type="paragraph" w:styleId="16">
    <w:name w:val="Balloon Text"/>
    <w:basedOn w:val="1"/>
    <w:link w:val="43"/>
    <w:unhideWhenUsed/>
    <w:qFormat/>
    <w:uiPriority w:val="99"/>
    <w:rPr>
      <w:sz w:val="18"/>
      <w:szCs w:val="18"/>
    </w:rPr>
  </w:style>
  <w:style w:type="paragraph" w:styleId="17">
    <w:name w:val="footer"/>
    <w:basedOn w:val="1"/>
    <w:link w:val="39"/>
    <w:qFormat/>
    <w:uiPriority w:val="99"/>
    <w:pPr>
      <w:widowControl/>
      <w:tabs>
        <w:tab w:val="center" w:pos="4153"/>
        <w:tab w:val="right" w:pos="8306"/>
      </w:tabs>
      <w:snapToGrid w:val="0"/>
      <w:jc w:val="left"/>
    </w:pPr>
    <w:rPr>
      <w:kern w:val="0"/>
      <w:sz w:val="18"/>
      <w:szCs w:val="18"/>
      <w:lang w:eastAsia="en-US" w:bidi="en-US"/>
    </w:rPr>
  </w:style>
  <w:style w:type="paragraph" w:styleId="18">
    <w:name w:val="header"/>
    <w:basedOn w:val="1"/>
    <w:link w:val="36"/>
    <w:qFormat/>
    <w:uiPriority w:val="99"/>
    <w:pPr>
      <w:widowControl/>
      <w:pBdr>
        <w:bottom w:val="single" w:color="auto" w:sz="6" w:space="1"/>
      </w:pBdr>
      <w:tabs>
        <w:tab w:val="center" w:pos="4153"/>
        <w:tab w:val="right" w:pos="8306"/>
      </w:tabs>
      <w:snapToGrid w:val="0"/>
      <w:jc w:val="center"/>
    </w:pPr>
    <w:rPr>
      <w:kern w:val="0"/>
      <w:sz w:val="18"/>
      <w:szCs w:val="18"/>
      <w:lang w:eastAsia="en-US" w:bidi="en-US"/>
    </w:rPr>
  </w:style>
  <w:style w:type="paragraph" w:styleId="19">
    <w:name w:val="toc 1"/>
    <w:basedOn w:val="1"/>
    <w:next w:val="1"/>
    <w:qFormat/>
    <w:uiPriority w:val="39"/>
    <w:pPr>
      <w:widowControl/>
      <w:tabs>
        <w:tab w:val="right" w:leader="dot" w:pos="9060"/>
      </w:tabs>
      <w:spacing w:before="120" w:after="120"/>
      <w:jc w:val="left"/>
    </w:pPr>
    <w:rPr>
      <w:b/>
      <w:bCs/>
      <w:caps/>
      <w:kern w:val="0"/>
      <w:sz w:val="24"/>
      <w:szCs w:val="24"/>
      <w:lang w:eastAsia="en-US" w:bidi="en-US"/>
    </w:rPr>
  </w:style>
  <w:style w:type="paragraph" w:styleId="20">
    <w:name w:val="Subtitle"/>
    <w:basedOn w:val="1"/>
    <w:next w:val="1"/>
    <w:link w:val="38"/>
    <w:qFormat/>
    <w:uiPriority w:val="0"/>
    <w:pPr>
      <w:widowControl/>
      <w:spacing w:after="60"/>
      <w:jc w:val="center"/>
      <w:outlineLvl w:val="1"/>
    </w:pPr>
    <w:rPr>
      <w:rFonts w:ascii="Cambria" w:hAnsi="Cambria"/>
      <w:kern w:val="0"/>
      <w:sz w:val="24"/>
      <w:szCs w:val="24"/>
      <w:lang w:eastAsia="en-US" w:bidi="en-US"/>
    </w:rPr>
  </w:style>
  <w:style w:type="paragraph" w:styleId="21">
    <w:name w:val="List"/>
    <w:basedOn w:val="1"/>
    <w:qFormat/>
    <w:uiPriority w:val="0"/>
    <w:pPr>
      <w:ind w:left="200" w:hanging="200" w:hangingChars="200"/>
      <w:contextualSpacing/>
    </w:pPr>
    <w:rPr>
      <w:rFonts w:ascii="Times New Roman" w:hAnsi="Times New Roman"/>
      <w:szCs w:val="24"/>
    </w:rPr>
  </w:style>
  <w:style w:type="paragraph" w:styleId="22">
    <w:name w:val="toc 6"/>
    <w:basedOn w:val="1"/>
    <w:next w:val="1"/>
    <w:unhideWhenUsed/>
    <w:qFormat/>
    <w:uiPriority w:val="39"/>
    <w:pPr>
      <w:ind w:left="1050"/>
      <w:jc w:val="left"/>
    </w:pPr>
    <w:rPr>
      <w:rFonts w:ascii="Times New Roman" w:hAnsi="Times New Roman"/>
      <w:sz w:val="18"/>
      <w:szCs w:val="18"/>
    </w:rPr>
  </w:style>
  <w:style w:type="paragraph" w:styleId="23">
    <w:name w:val="toc 2"/>
    <w:basedOn w:val="1"/>
    <w:next w:val="1"/>
    <w:unhideWhenUsed/>
    <w:qFormat/>
    <w:uiPriority w:val="39"/>
    <w:pPr>
      <w:ind w:left="420" w:leftChars="200"/>
    </w:pPr>
  </w:style>
  <w:style w:type="paragraph" w:styleId="2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5">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styleId="26">
    <w:name w:val="Title"/>
    <w:basedOn w:val="1"/>
    <w:next w:val="1"/>
    <w:link w:val="37"/>
    <w:qFormat/>
    <w:uiPriority w:val="10"/>
    <w:pPr>
      <w:widowControl/>
      <w:spacing w:before="240" w:after="60"/>
      <w:jc w:val="center"/>
      <w:outlineLvl w:val="0"/>
    </w:pPr>
    <w:rPr>
      <w:rFonts w:ascii="Cambria" w:hAnsi="Cambria"/>
      <w:b/>
      <w:bCs/>
      <w:kern w:val="28"/>
      <w:sz w:val="32"/>
      <w:szCs w:val="32"/>
      <w:lang w:eastAsia="en-US" w:bidi="en-US"/>
    </w:rPr>
  </w:style>
  <w:style w:type="paragraph" w:styleId="27">
    <w:name w:val="annotation subject"/>
    <w:basedOn w:val="11"/>
    <w:next w:val="11"/>
    <w:link w:val="42"/>
    <w:unhideWhenUsed/>
    <w:qFormat/>
    <w:uiPriority w:val="99"/>
    <w:pPr>
      <w:widowControl w:val="0"/>
    </w:pPr>
    <w:rPr>
      <w:rFonts w:ascii="Calibri" w:hAnsi="Calibri" w:eastAsia="宋体" w:cs="Times New Roman"/>
      <w:b/>
      <w:bCs/>
      <w:sz w:val="21"/>
      <w:szCs w:val="22"/>
      <w:lang w:eastAsia="zh-CN" w:bidi="ar-SA"/>
    </w:rPr>
  </w:style>
  <w:style w:type="paragraph" w:styleId="28">
    <w:name w:val="Body Text First Indent"/>
    <w:basedOn w:val="13"/>
    <w:next w:val="1"/>
    <w:qFormat/>
    <w:uiPriority w:val="0"/>
    <w:pPr>
      <w:autoSpaceDE w:val="0"/>
      <w:autoSpaceDN w:val="0"/>
      <w:adjustRightInd w:val="0"/>
      <w:ind w:firstLine="420" w:firstLineChars="100"/>
      <w:jc w:val="left"/>
    </w:pPr>
    <w:rPr>
      <w:kern w:val="0"/>
      <w:sz w:val="20"/>
      <w:szCs w:val="20"/>
    </w:rPr>
  </w:style>
  <w:style w:type="paragraph" w:styleId="29">
    <w:name w:val="Body Text First Indent 2"/>
    <w:basedOn w:val="2"/>
    <w:link w:val="81"/>
    <w:unhideWhenUsed/>
    <w:qFormat/>
    <w:uiPriority w:val="99"/>
    <w:pPr>
      <w:tabs>
        <w:tab w:val="clear" w:pos="720"/>
        <w:tab w:val="clear" w:pos="1260"/>
        <w:tab w:val="clear" w:pos="2160"/>
        <w:tab w:val="clear" w:pos="2880"/>
        <w:tab w:val="clear" w:pos="3600"/>
        <w:tab w:val="clear" w:pos="4320"/>
        <w:tab w:val="clear" w:pos="5040"/>
        <w:tab w:val="clear" w:pos="5760"/>
      </w:tabs>
      <w:autoSpaceDE/>
      <w:autoSpaceDN/>
      <w:adjustRightInd/>
      <w:spacing w:after="120" w:line="240" w:lineRule="auto"/>
      <w:ind w:left="420" w:leftChars="200" w:right="0" w:rightChars="0" w:firstLine="420" w:firstLineChars="200"/>
      <w:jc w:val="both"/>
    </w:pPr>
    <w:rPr>
      <w:rFonts w:ascii="Calibri"/>
      <w:color w:val="auto"/>
      <w:kern w:val="2"/>
      <w:sz w:val="21"/>
      <w:szCs w:val="22"/>
    </w:rPr>
  </w:style>
  <w:style w:type="table" w:styleId="31">
    <w:name w:val="Table Grid"/>
    <w:basedOn w:val="3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Hyperlink"/>
    <w:basedOn w:val="32"/>
    <w:qFormat/>
    <w:uiPriority w:val="99"/>
    <w:rPr>
      <w:color w:val="0000FF"/>
      <w:u w:val="single"/>
    </w:rPr>
  </w:style>
  <w:style w:type="character" w:styleId="34">
    <w:name w:val="annotation reference"/>
    <w:basedOn w:val="32"/>
    <w:unhideWhenUsed/>
    <w:qFormat/>
    <w:uiPriority w:val="99"/>
    <w:rPr>
      <w:sz w:val="21"/>
      <w:szCs w:val="21"/>
    </w:rPr>
  </w:style>
  <w:style w:type="character" w:customStyle="1" w:styleId="35">
    <w:name w:val="标题 2 Char"/>
    <w:basedOn w:val="32"/>
    <w:link w:val="5"/>
    <w:qFormat/>
    <w:uiPriority w:val="9"/>
    <w:rPr>
      <w:rFonts w:ascii="Cambria" w:hAnsi="Cambria" w:eastAsia="宋体" w:cs="Times New Roman"/>
      <w:b/>
      <w:bCs/>
      <w:i/>
      <w:iCs/>
      <w:kern w:val="0"/>
      <w:sz w:val="28"/>
      <w:szCs w:val="28"/>
      <w:lang w:eastAsia="en-US" w:bidi="en-US"/>
    </w:rPr>
  </w:style>
  <w:style w:type="character" w:customStyle="1" w:styleId="36">
    <w:name w:val="页眉 Char"/>
    <w:basedOn w:val="32"/>
    <w:link w:val="18"/>
    <w:qFormat/>
    <w:uiPriority w:val="99"/>
    <w:rPr>
      <w:rFonts w:ascii="Calibri" w:hAnsi="Calibri" w:eastAsia="宋体" w:cs="Times New Roman"/>
      <w:kern w:val="0"/>
      <w:sz w:val="18"/>
      <w:szCs w:val="18"/>
      <w:lang w:eastAsia="en-US" w:bidi="en-US"/>
    </w:rPr>
  </w:style>
  <w:style w:type="character" w:customStyle="1" w:styleId="37">
    <w:name w:val="标题 Char"/>
    <w:basedOn w:val="32"/>
    <w:link w:val="26"/>
    <w:qFormat/>
    <w:uiPriority w:val="10"/>
    <w:rPr>
      <w:rFonts w:ascii="Cambria" w:hAnsi="Cambria" w:eastAsia="宋体" w:cs="Times New Roman"/>
      <w:b/>
      <w:bCs/>
      <w:kern w:val="28"/>
      <w:sz w:val="32"/>
      <w:szCs w:val="32"/>
      <w:lang w:eastAsia="en-US" w:bidi="en-US"/>
    </w:rPr>
  </w:style>
  <w:style w:type="character" w:customStyle="1" w:styleId="38">
    <w:name w:val="副标题 Char"/>
    <w:basedOn w:val="32"/>
    <w:link w:val="20"/>
    <w:qFormat/>
    <w:uiPriority w:val="0"/>
    <w:rPr>
      <w:rFonts w:ascii="Cambria" w:hAnsi="Cambria" w:eastAsia="宋体" w:cs="Times New Roman"/>
      <w:kern w:val="0"/>
      <w:sz w:val="24"/>
      <w:szCs w:val="24"/>
      <w:lang w:eastAsia="en-US" w:bidi="en-US"/>
    </w:rPr>
  </w:style>
  <w:style w:type="character" w:customStyle="1" w:styleId="39">
    <w:name w:val="页脚 Char"/>
    <w:basedOn w:val="32"/>
    <w:link w:val="17"/>
    <w:qFormat/>
    <w:uiPriority w:val="99"/>
    <w:rPr>
      <w:rFonts w:ascii="Calibri" w:hAnsi="Calibri" w:eastAsia="宋体" w:cs="Times New Roman"/>
      <w:kern w:val="0"/>
      <w:sz w:val="18"/>
      <w:szCs w:val="18"/>
      <w:lang w:eastAsia="en-US" w:bidi="en-US"/>
    </w:rPr>
  </w:style>
  <w:style w:type="paragraph" w:customStyle="1" w:styleId="40">
    <w:name w:val="列出段落1"/>
    <w:basedOn w:val="1"/>
    <w:qFormat/>
    <w:uiPriority w:val="99"/>
    <w:pPr>
      <w:ind w:firstLine="420" w:firstLineChars="200"/>
    </w:pPr>
  </w:style>
  <w:style w:type="character" w:customStyle="1" w:styleId="41">
    <w:name w:val="批注文字 Char"/>
    <w:basedOn w:val="32"/>
    <w:link w:val="11"/>
    <w:qFormat/>
    <w:uiPriority w:val="0"/>
    <w:rPr>
      <w:sz w:val="24"/>
      <w:szCs w:val="24"/>
      <w:lang w:eastAsia="en-US" w:bidi="en-US"/>
    </w:rPr>
  </w:style>
  <w:style w:type="character" w:customStyle="1" w:styleId="42">
    <w:name w:val="批注主题 Char"/>
    <w:basedOn w:val="41"/>
    <w:link w:val="27"/>
    <w:semiHidden/>
    <w:qFormat/>
    <w:uiPriority w:val="99"/>
    <w:rPr>
      <w:rFonts w:ascii="Calibri" w:hAnsi="Calibri" w:eastAsia="宋体" w:cs="Times New Roman"/>
      <w:b/>
      <w:bCs/>
      <w:sz w:val="24"/>
      <w:szCs w:val="24"/>
      <w:lang w:eastAsia="en-US" w:bidi="en-US"/>
    </w:rPr>
  </w:style>
  <w:style w:type="character" w:customStyle="1" w:styleId="43">
    <w:name w:val="批注框文本 Char"/>
    <w:basedOn w:val="32"/>
    <w:link w:val="16"/>
    <w:semiHidden/>
    <w:qFormat/>
    <w:uiPriority w:val="99"/>
    <w:rPr>
      <w:rFonts w:ascii="Calibri" w:hAnsi="Calibri" w:eastAsia="宋体" w:cs="Times New Roman"/>
      <w:sz w:val="18"/>
      <w:szCs w:val="18"/>
    </w:rPr>
  </w:style>
  <w:style w:type="character" w:customStyle="1" w:styleId="44">
    <w:name w:val="日期 Char"/>
    <w:basedOn w:val="32"/>
    <w:link w:val="15"/>
    <w:semiHidden/>
    <w:qFormat/>
    <w:uiPriority w:val="99"/>
    <w:rPr>
      <w:rFonts w:ascii="Calibri" w:hAnsi="Calibri" w:eastAsia="宋体" w:cs="Times New Roman"/>
    </w:rPr>
  </w:style>
  <w:style w:type="character" w:customStyle="1" w:styleId="45">
    <w:name w:val="纯文本 Char1"/>
    <w:link w:val="14"/>
    <w:qFormat/>
    <w:uiPriority w:val="0"/>
    <w:rPr>
      <w:rFonts w:ascii="宋体" w:hAnsi="Courier New" w:eastAsia="宋体"/>
      <w:szCs w:val="24"/>
    </w:rPr>
  </w:style>
  <w:style w:type="character" w:customStyle="1" w:styleId="46">
    <w:name w:val="纯文本 Char"/>
    <w:basedOn w:val="32"/>
    <w:qFormat/>
    <w:uiPriority w:val="0"/>
    <w:rPr>
      <w:rFonts w:ascii="宋体" w:hAnsi="Courier New" w:eastAsia="宋体" w:cs="Courier New"/>
      <w:szCs w:val="21"/>
    </w:rPr>
  </w:style>
  <w:style w:type="paragraph" w:customStyle="1" w:styleId="47">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reader-word-layer"/>
    <w:basedOn w:val="1"/>
    <w:qFormat/>
    <w:uiPriority w:val="0"/>
    <w:pPr>
      <w:spacing w:before="100" w:beforeAutospacing="1" w:after="100" w:afterAutospacing="1"/>
    </w:pPr>
    <w:rPr>
      <w:rFonts w:ascii="宋体" w:hAnsi="宋体" w:cs="宋体"/>
    </w:rPr>
  </w:style>
  <w:style w:type="paragraph" w:customStyle="1" w:styleId="49">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
    <w:name w:val="正文_4"/>
    <w:qFormat/>
    <w:uiPriority w:val="0"/>
    <w:pPr>
      <w:widowControl w:val="0"/>
      <w:jc w:val="both"/>
    </w:pPr>
    <w:rPr>
      <w:rFonts w:ascii="Calibri" w:hAnsi="Calibri" w:eastAsia="宋体" w:cs="Times New Roman"/>
      <w:kern w:val="2"/>
      <w:sz w:val="21"/>
      <w:szCs w:val="24"/>
      <w:lang w:val="en-US" w:eastAsia="zh-CN" w:bidi="ar-SA"/>
    </w:rPr>
  </w:style>
  <w:style w:type="paragraph" w:customStyle="1" w:styleId="51">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_Style 2"/>
    <w:qFormat/>
    <w:uiPriority w:val="99"/>
    <w:pPr>
      <w:adjustRightInd w:val="0"/>
      <w:snapToGrid w:val="0"/>
    </w:pPr>
    <w:rPr>
      <w:rFonts w:ascii="Tahoma" w:hAnsi="Tahoma" w:eastAsia="微软雅黑" w:cs="Tahoma"/>
      <w:sz w:val="22"/>
      <w:szCs w:val="22"/>
      <w:lang w:val="en-US" w:eastAsia="zh-CN" w:bidi="ar-SA"/>
    </w:rPr>
  </w:style>
  <w:style w:type="paragraph" w:customStyle="1" w:styleId="53">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Normal_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修订1"/>
    <w:hidden/>
    <w:semiHidden/>
    <w:qFormat/>
    <w:uiPriority w:val="99"/>
    <w:rPr>
      <w:rFonts w:ascii="Calibri" w:hAnsi="Calibri" w:eastAsia="宋体" w:cs="Times New Roman"/>
      <w:kern w:val="2"/>
      <w:sz w:val="21"/>
      <w:szCs w:val="22"/>
      <w:lang w:val="en-US" w:eastAsia="zh-CN" w:bidi="ar-SA"/>
    </w:rPr>
  </w:style>
  <w:style w:type="character" w:customStyle="1" w:styleId="57">
    <w:name w:val="正文文本 3 Char"/>
    <w:basedOn w:val="32"/>
    <w:link w:val="12"/>
    <w:qFormat/>
    <w:uiPriority w:val="0"/>
    <w:rPr>
      <w:kern w:val="2"/>
      <w:sz w:val="16"/>
      <w:szCs w:val="16"/>
    </w:rPr>
  </w:style>
  <w:style w:type="paragraph" w:customStyle="1" w:styleId="58">
    <w:name w:val="列出段落11"/>
    <w:basedOn w:val="1"/>
    <w:qFormat/>
    <w:uiPriority w:val="99"/>
    <w:pPr>
      <w:ind w:firstLine="420" w:firstLineChars="200"/>
    </w:pPr>
    <w:rPr>
      <w:rFonts w:ascii="Times New Roman" w:hAnsi="Times New Roman"/>
      <w:szCs w:val="20"/>
    </w:rPr>
  </w:style>
  <w:style w:type="character" w:customStyle="1" w:styleId="59">
    <w:name w:val="正文文本 Char"/>
    <w:basedOn w:val="32"/>
    <w:qFormat/>
    <w:uiPriority w:val="0"/>
    <w:rPr>
      <w:rFonts w:hint="default" w:ascii="Tahoma" w:hAnsi="Tahoma" w:eastAsia="Tahoma" w:cs="Tahoma"/>
      <w:kern w:val="2"/>
      <w:sz w:val="21"/>
    </w:rPr>
  </w:style>
  <w:style w:type="paragraph" w:customStyle="1" w:styleId="60">
    <w:name w:val="默认"/>
    <w:basedOn w:val="1"/>
    <w:qFormat/>
    <w:uiPriority w:val="0"/>
    <w:pPr>
      <w:widowControl/>
      <w:jc w:val="left"/>
    </w:pPr>
    <w:rPr>
      <w:rFonts w:ascii="Arial Unicode MS" w:hAnsi="Arial Unicode MS" w:eastAsia="Helvetica"/>
      <w:color w:val="000000"/>
      <w:kern w:val="0"/>
      <w:sz w:val="22"/>
    </w:rPr>
  </w:style>
  <w:style w:type="character" w:customStyle="1" w:styleId="61">
    <w:name w:val="正文文本 Char1"/>
    <w:basedOn w:val="32"/>
    <w:link w:val="13"/>
    <w:qFormat/>
    <w:uiPriority w:val="0"/>
    <w:rPr>
      <w:rFonts w:hint="default" w:ascii="Tahoma" w:hAnsi="Tahoma" w:eastAsia="Tahoma" w:cs="Tahoma"/>
      <w:kern w:val="2"/>
      <w:sz w:val="21"/>
    </w:rPr>
  </w:style>
  <w:style w:type="character" w:customStyle="1" w:styleId="62">
    <w:name w:val="font61"/>
    <w:basedOn w:val="32"/>
    <w:qFormat/>
    <w:uiPriority w:val="0"/>
    <w:rPr>
      <w:rFonts w:hint="default" w:ascii="Calibri" w:hAnsi="Calibri" w:cs="Calibri"/>
      <w:b/>
      <w:color w:val="000000"/>
      <w:sz w:val="21"/>
      <w:szCs w:val="21"/>
      <w:u w:val="none"/>
    </w:rPr>
  </w:style>
  <w:style w:type="character" w:customStyle="1" w:styleId="63">
    <w:name w:val="font31"/>
    <w:basedOn w:val="32"/>
    <w:qFormat/>
    <w:uiPriority w:val="0"/>
    <w:rPr>
      <w:rFonts w:hint="eastAsia" w:ascii="宋体" w:hAnsi="宋体" w:eastAsia="宋体" w:cs="宋体"/>
      <w:b/>
      <w:color w:val="000000"/>
      <w:sz w:val="21"/>
      <w:szCs w:val="21"/>
      <w:u w:val="none"/>
    </w:rPr>
  </w:style>
  <w:style w:type="character" w:customStyle="1" w:styleId="64">
    <w:name w:val="font11"/>
    <w:basedOn w:val="32"/>
    <w:qFormat/>
    <w:uiPriority w:val="0"/>
    <w:rPr>
      <w:rFonts w:hint="eastAsia" w:ascii="宋体" w:hAnsi="宋体" w:eastAsia="宋体" w:cs="宋体"/>
      <w:color w:val="000000"/>
      <w:sz w:val="21"/>
      <w:szCs w:val="21"/>
      <w:u w:val="none"/>
    </w:rPr>
  </w:style>
  <w:style w:type="character" w:customStyle="1" w:styleId="65">
    <w:name w:val="font41"/>
    <w:basedOn w:val="32"/>
    <w:qFormat/>
    <w:uiPriority w:val="0"/>
    <w:rPr>
      <w:rFonts w:ascii="Calibri" w:hAnsi="Calibri" w:cs="Calibri"/>
      <w:color w:val="000000"/>
      <w:sz w:val="21"/>
      <w:szCs w:val="21"/>
      <w:u w:val="none"/>
    </w:rPr>
  </w:style>
  <w:style w:type="character" w:customStyle="1" w:styleId="66">
    <w:name w:val="font51"/>
    <w:basedOn w:val="32"/>
    <w:qFormat/>
    <w:uiPriority w:val="0"/>
    <w:rPr>
      <w:rFonts w:hint="eastAsia" w:ascii="宋体" w:hAnsi="宋体" w:eastAsia="宋体" w:cs="宋体"/>
      <w:color w:val="000000"/>
      <w:sz w:val="21"/>
      <w:szCs w:val="21"/>
      <w:u w:val="none"/>
    </w:rPr>
  </w:style>
  <w:style w:type="character" w:customStyle="1" w:styleId="67">
    <w:name w:val="标题 1 Char"/>
    <w:basedOn w:val="32"/>
    <w:link w:val="4"/>
    <w:qFormat/>
    <w:uiPriority w:val="9"/>
    <w:rPr>
      <w:rFonts w:ascii="Calibri" w:hAnsi="Calibri"/>
      <w:b/>
      <w:bCs/>
      <w:kern w:val="44"/>
      <w:sz w:val="44"/>
      <w:szCs w:val="44"/>
    </w:rPr>
  </w:style>
  <w:style w:type="paragraph" w:customStyle="1" w:styleId="68">
    <w:name w:val="Table Paragraph"/>
    <w:basedOn w:val="1"/>
    <w:qFormat/>
    <w:uiPriority w:val="1"/>
    <w:pPr>
      <w:jc w:val="left"/>
    </w:pPr>
    <w:rPr>
      <w:kern w:val="0"/>
      <w:sz w:val="22"/>
      <w:lang w:eastAsia="en-US"/>
    </w:rPr>
  </w:style>
  <w:style w:type="character" w:customStyle="1" w:styleId="69">
    <w:name w:val="font91"/>
    <w:basedOn w:val="32"/>
    <w:qFormat/>
    <w:uiPriority w:val="0"/>
    <w:rPr>
      <w:rFonts w:hint="eastAsia" w:ascii="宋体" w:hAnsi="宋体" w:eastAsia="宋体" w:cs="宋体"/>
      <w:color w:val="FF0000"/>
      <w:sz w:val="20"/>
      <w:szCs w:val="20"/>
      <w:u w:val="none"/>
    </w:rPr>
  </w:style>
  <w:style w:type="character" w:customStyle="1" w:styleId="70">
    <w:name w:val="font21"/>
    <w:basedOn w:val="32"/>
    <w:qFormat/>
    <w:uiPriority w:val="0"/>
    <w:rPr>
      <w:rFonts w:hint="eastAsia" w:ascii="宋体" w:hAnsi="宋体" w:eastAsia="宋体" w:cs="宋体"/>
      <w:color w:val="000000"/>
      <w:sz w:val="20"/>
      <w:szCs w:val="20"/>
      <w:u w:val="none"/>
    </w:rPr>
  </w:style>
  <w:style w:type="character" w:customStyle="1" w:styleId="71">
    <w:name w:val="font01"/>
    <w:basedOn w:val="32"/>
    <w:qFormat/>
    <w:uiPriority w:val="0"/>
    <w:rPr>
      <w:rFonts w:hint="eastAsia" w:ascii="宋体" w:hAnsi="宋体" w:eastAsia="宋体" w:cs="宋体"/>
      <w:color w:val="FF0000"/>
      <w:sz w:val="20"/>
      <w:szCs w:val="20"/>
      <w:u w:val="none"/>
    </w:rPr>
  </w:style>
  <w:style w:type="character" w:customStyle="1" w:styleId="72">
    <w:name w:val="font101"/>
    <w:basedOn w:val="32"/>
    <w:qFormat/>
    <w:uiPriority w:val="0"/>
    <w:rPr>
      <w:rFonts w:hint="eastAsia" w:ascii="宋体" w:hAnsi="宋体" w:eastAsia="宋体" w:cs="宋体"/>
      <w:color w:val="FF0000"/>
      <w:sz w:val="20"/>
      <w:szCs w:val="20"/>
      <w:u w:val="none"/>
    </w:rPr>
  </w:style>
  <w:style w:type="paragraph" w:customStyle="1" w:styleId="73">
    <w:name w:val="签发人"/>
    <w:basedOn w:val="1"/>
    <w:qFormat/>
    <w:uiPriority w:val="0"/>
    <w:rPr>
      <w:rFonts w:ascii="Times New Roman" w:hAnsi="Times New Roman" w:eastAsia="楷体"/>
      <w:sz w:val="32"/>
      <w:szCs w:val="24"/>
    </w:rPr>
  </w:style>
  <w:style w:type="character" w:customStyle="1" w:styleId="74">
    <w:name w:val="纯文本 Char2"/>
    <w:qFormat/>
    <w:uiPriority w:val="0"/>
    <w:rPr>
      <w:rFonts w:ascii="宋体" w:hAnsi="Courier New" w:eastAsia="宋体"/>
      <w:kern w:val="2"/>
      <w:sz w:val="21"/>
      <w:lang w:val="en-US" w:eastAsia="zh-CN" w:bidi="ar-SA"/>
    </w:rPr>
  </w:style>
  <w:style w:type="character" w:customStyle="1" w:styleId="75">
    <w:name w:val="标题 4 Char"/>
    <w:basedOn w:val="32"/>
    <w:link w:val="7"/>
    <w:semiHidden/>
    <w:qFormat/>
    <w:uiPriority w:val="9"/>
    <w:rPr>
      <w:rFonts w:asciiTheme="majorHAnsi" w:hAnsiTheme="majorHAnsi" w:eastAsiaTheme="majorEastAsia" w:cstheme="majorBidi"/>
      <w:b/>
      <w:bCs/>
      <w:kern w:val="2"/>
      <w:sz w:val="28"/>
      <w:szCs w:val="28"/>
    </w:rPr>
  </w:style>
  <w:style w:type="character" w:customStyle="1" w:styleId="76">
    <w:name w:val="标题 5 Char"/>
    <w:basedOn w:val="32"/>
    <w:link w:val="8"/>
    <w:semiHidden/>
    <w:qFormat/>
    <w:uiPriority w:val="9"/>
    <w:rPr>
      <w:rFonts w:ascii="Calibri" w:hAnsi="Calibri"/>
      <w:b/>
      <w:bCs/>
      <w:kern w:val="2"/>
      <w:sz w:val="28"/>
      <w:szCs w:val="28"/>
    </w:rPr>
  </w:style>
  <w:style w:type="paragraph" w:customStyle="1" w:styleId="77">
    <w:name w:val="无间隔1"/>
    <w:qFormat/>
    <w:uiPriority w:val="99"/>
    <w:pPr>
      <w:adjustRightInd w:val="0"/>
      <w:snapToGrid w:val="0"/>
    </w:pPr>
    <w:rPr>
      <w:rFonts w:ascii="Tahoma" w:hAnsi="Tahoma" w:eastAsia="微软雅黑" w:cstheme="minorBidi"/>
      <w:sz w:val="22"/>
      <w:szCs w:val="22"/>
      <w:lang w:val="en-US" w:eastAsia="zh-CN" w:bidi="ar-SA"/>
    </w:rPr>
  </w:style>
  <w:style w:type="character" w:customStyle="1" w:styleId="78">
    <w:name w:val="正文缩进 Char"/>
    <w:link w:val="10"/>
    <w:qFormat/>
    <w:uiPriority w:val="0"/>
    <w:rPr>
      <w:rFonts w:ascii="Calibri" w:hAnsi="Calibri"/>
      <w:kern w:val="2"/>
      <w:sz w:val="21"/>
    </w:rPr>
  </w:style>
  <w:style w:type="paragraph" w:customStyle="1" w:styleId="79">
    <w:name w:val="表格文字"/>
    <w:basedOn w:val="1"/>
    <w:next w:val="13"/>
    <w:qFormat/>
    <w:uiPriority w:val="0"/>
    <w:pPr>
      <w:spacing w:line="420" w:lineRule="atLeast"/>
      <w:textAlignment w:val="baseline"/>
    </w:pPr>
    <w:rPr>
      <w:rFonts w:ascii="Times New Roman" w:hAnsi="Times New Roman"/>
      <w:szCs w:val="24"/>
    </w:rPr>
  </w:style>
  <w:style w:type="character" w:customStyle="1" w:styleId="80">
    <w:name w:val="正文文本缩进 Char"/>
    <w:basedOn w:val="32"/>
    <w:link w:val="2"/>
    <w:qFormat/>
    <w:uiPriority w:val="0"/>
    <w:rPr>
      <w:rFonts w:ascii="宋体" w:hAnsi="Calibri"/>
      <w:color w:val="000000"/>
      <w:sz w:val="24"/>
    </w:rPr>
  </w:style>
  <w:style w:type="character" w:customStyle="1" w:styleId="81">
    <w:name w:val="正文首行缩进 2 Char"/>
    <w:basedOn w:val="80"/>
    <w:link w:val="29"/>
    <w:qFormat/>
    <w:uiPriority w:val="99"/>
    <w:rPr>
      <w:rFonts w:ascii="Calibri" w:hAnsi="Calibri"/>
      <w:color w:val="000000"/>
      <w:kern w:val="2"/>
      <w:sz w:val="21"/>
      <w:szCs w:val="22"/>
    </w:rPr>
  </w:style>
  <w:style w:type="paragraph" w:customStyle="1" w:styleId="82">
    <w:name w:val="纯文本1"/>
    <w:basedOn w:val="1"/>
    <w:qFormat/>
    <w:uiPriority w:val="0"/>
    <w:pPr>
      <w:widowControl/>
      <w:jc w:val="left"/>
    </w:pPr>
    <w:rPr>
      <w:rFonts w:hint="eastAsia" w:ascii="宋体" w:hAnsi="Courier New"/>
      <w:szCs w:val="20"/>
    </w:rPr>
  </w:style>
  <w:style w:type="character" w:customStyle="1" w:styleId="83">
    <w:name w:val="ca-12"/>
    <w:basedOn w:val="32"/>
    <w:qFormat/>
    <w:uiPriority w:val="0"/>
  </w:style>
  <w:style w:type="paragraph" w:customStyle="1" w:styleId="84">
    <w:name w:val="正文_14"/>
    <w:qFormat/>
    <w:uiPriority w:val="0"/>
    <w:rPr>
      <w:rFonts w:ascii="Times New Roman" w:hAnsi="Times New Roman" w:eastAsia="宋体" w:cs="Times New Roman"/>
      <w:sz w:val="21"/>
      <w:szCs w:val="22"/>
      <w:lang w:val="en-US" w:eastAsia="zh-CN" w:bidi="ar-SA"/>
    </w:rPr>
  </w:style>
  <w:style w:type="paragraph" w:customStyle="1" w:styleId="85">
    <w:name w:val="_正文段落"/>
    <w:basedOn w:val="1"/>
    <w:qFormat/>
    <w:uiPriority w:val="0"/>
    <w:pPr>
      <w:spacing w:beforeLines="15" w:line="360" w:lineRule="auto"/>
      <w:ind w:firstLine="200" w:firstLineChars="200"/>
    </w:pPr>
    <w:rPr>
      <w:rFonts w:ascii="宋体" w:hAnsi="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4126DD-0EEE-43F9-9D25-2168AD6D532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11666</Words>
  <Characters>11981</Characters>
  <Lines>161</Lines>
  <Paragraphs>45</Paragraphs>
  <TotalTime>55</TotalTime>
  <ScaleCrop>false</ScaleCrop>
  <LinksUpToDate>false</LinksUpToDate>
  <CharactersWithSpaces>12041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2024-05-07T00:33:00Z</dcterms:created>
  <dc:creator>Windows 用户</dc:creator>
  <cp:lastModifiedBy>WPS_1623391591</cp:lastModifiedBy>
  <cp:lastPrinted>2022-04-19T06:13:00Z</cp:lastPrinted>
  <dcterms:modified xsi:type="dcterms:W3CDTF">2025-09-12T08:39:42Z</dcterms:modified>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219C8353FE194DF0BDCC43F34F153B77_13</vt:lpwstr>
  </property>
  <property fmtid="{D5CDD505-2E9C-101B-9397-08002B2CF9AE}" pid="4" name="KSOTemplateDocerSaveRecord">
    <vt:lpwstr>eyJoZGlkIjoiMjYxYjljZTIyMDBlZjM5OWZiNzM5YWFmOGNjZDNkM2MiLCJ1c2VySWQiOiIxMjE1Nzg1Mzg1In0=</vt:lpwstr>
  </property>
</Properties>
</file>